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0</wp:posOffset>
            </wp:positionV>
            <wp:extent cx="647700" cy="636270"/>
            <wp:effectExtent l="0" t="0" r="0" b="0"/>
            <wp:wrapTight wrapText="bothSides">
              <wp:wrapPolygon edited="0">
                <wp:start x="0" y="0"/>
                <wp:lineTo x="0" y="20695"/>
                <wp:lineTo x="20965" y="20695"/>
                <wp:lineTo x="20965" y="0"/>
                <wp:lineTo x="0" y="0"/>
              </wp:wrapPolygon>
            </wp:wrapTight>
            <wp:docPr id="1" name="Picture 1" descr="D:\Stjohns\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johns\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36270"/>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pPr>
        <w:pStyle w:val="Heading2"/>
        <w:rPr>
          <w:b w:val="0"/>
          <w:bCs/>
          <w:color w:val="auto"/>
          <w:sz w:val="24"/>
          <w:szCs w:val="24"/>
        </w:rPr>
      </w:pPr>
      <w:r>
        <w:rPr>
          <w:b w:val="0"/>
          <w:bCs/>
          <w:color w:val="auto"/>
          <w:sz w:val="24"/>
          <w:szCs w:val="24"/>
        </w:rPr>
        <w:t xml:space="preserve">This statement details our school’s use of pupil premium (and recovery premium for the 2022 to 2023 academic year) funding to help improve the attainment of our disadvantaged pupils. </w:t>
      </w:r>
    </w:p>
    <w:p>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7183"/>
        <w:gridCol w:w="3273"/>
      </w:tblGrid>
      <w:tr>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Data</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St John’s CE Primary school</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201</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11.5%</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2021/2022 to 2024/2025</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December 2022</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December 2023</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Therese Pullan, Headteacher</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 xml:space="preserve">Jane Gillhouley Deputy Head Teacher </w:t>
            </w:r>
          </w:p>
        </w:tc>
      </w:tr>
      <w:t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Sonia Shah-Simmons, Governor for PP</w:t>
            </w:r>
          </w:p>
        </w:tc>
      </w:tr>
    </w:tbl>
    <w:bookmarkEnd w:id="2"/>
    <w:bookmarkEnd w:id="3"/>
    <w:bookmarkEnd w:id="4"/>
    <w:p>
      <w:pPr>
        <w:spacing w:before="480" w:line="240" w:lineRule="auto"/>
        <w:rPr>
          <w:b/>
          <w:color w:val="104F75"/>
          <w:sz w:val="32"/>
          <w:szCs w:val="32"/>
        </w:rPr>
      </w:pPr>
      <w:r>
        <w:rPr>
          <w:b/>
          <w:color w:val="104F75"/>
          <w:sz w:val="32"/>
          <w:szCs w:val="32"/>
        </w:rPr>
        <w:t>Funding overview</w:t>
      </w:r>
    </w:p>
    <w:tbl>
      <w:tblPr>
        <w:tblW w:w="10365" w:type="dxa"/>
        <w:tblCellMar>
          <w:left w:w="10" w:type="dxa"/>
          <w:right w:w="10" w:type="dxa"/>
        </w:tblCellMar>
        <w:tblLook w:val="04A0" w:firstRow="1" w:lastRow="0" w:firstColumn="1" w:lastColumn="0" w:noHBand="0" w:noVBand="1"/>
      </w:tblPr>
      <w:tblGrid>
        <w:gridCol w:w="7120"/>
        <w:gridCol w:w="3245"/>
      </w:tblGrid>
      <w:tr>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pPr>
              <w:pStyle w:val="TableRow"/>
            </w:pPr>
            <w:r>
              <w:rPr>
                <w:b/>
              </w:rPr>
              <w:t>Detail</w:t>
            </w:r>
          </w:p>
        </w:tc>
        <w:tc>
          <w:tcPr>
            <w:tcW w:w="3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pPr>
              <w:pStyle w:val="TableRow"/>
            </w:pPr>
            <w:r>
              <w:rPr>
                <w:b/>
              </w:rPr>
              <w:t>Amount</w:t>
            </w:r>
          </w:p>
        </w:tc>
      </w:tr>
      <w:tr>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Pupil premium funding allocation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£27,340.00</w:t>
            </w:r>
          </w:p>
        </w:tc>
      </w:tr>
      <w:tr>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Recovery premium funding allocation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£0</w:t>
            </w:r>
          </w:p>
        </w:tc>
      </w:tr>
      <w:tr>
        <w:trPr>
          <w:trHeight w:val="372"/>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pPr>
              <w:pStyle w:val="TableRow"/>
            </w:pPr>
            <w:r>
              <w:t>Pupil premium funding carried forward from previous years (enter £0 if not applicable)</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£0</w:t>
            </w:r>
          </w:p>
        </w:tc>
      </w:tr>
      <w:tr>
        <w:trPr>
          <w:trHeight w:val="1257"/>
        </w:trPr>
        <w:tc>
          <w:tcPr>
            <w:tcW w:w="7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b/>
              </w:rPr>
            </w:pPr>
            <w:r>
              <w:rPr>
                <w:b/>
              </w:rPr>
              <w:t>Total budget for this academic year</w:t>
            </w:r>
          </w:p>
          <w:p>
            <w:pPr>
              <w:pStyle w:val="TableRow"/>
            </w:pPr>
            <w:r>
              <w:t>If your school is an academy in a trust that pools this funding, state the amount available to your school this academic year</w:t>
            </w:r>
          </w:p>
        </w:tc>
        <w:tc>
          <w:tcPr>
            <w:tcW w:w="3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t>£27.340.00</w:t>
            </w:r>
          </w:p>
        </w:tc>
      </w:tr>
    </w:tbl>
    <w:p>
      <w:pPr>
        <w:pStyle w:val="Heading1"/>
      </w:pPr>
      <w:r>
        <w:lastRenderedPageBreak/>
        <w:t>Part A: Pupil premium strategy plan</w:t>
      </w:r>
    </w:p>
    <w:p>
      <w:pPr>
        <w:pStyle w:val="Heading2"/>
      </w:pPr>
      <w:bookmarkStart w:id="15" w:name="_Toc357771640"/>
      <w:bookmarkStart w:id="16" w:name="_Toc346793418"/>
      <w:r>
        <w:t>Statement of intent</w:t>
      </w:r>
    </w:p>
    <w:p/>
    <w:tbl>
      <w:tblPr>
        <w:tblW w:w="10301" w:type="dxa"/>
        <w:tblCellMar>
          <w:left w:w="10" w:type="dxa"/>
          <w:right w:w="10" w:type="dxa"/>
        </w:tblCellMar>
        <w:tblLook w:val="04A0" w:firstRow="1" w:lastRow="0" w:firstColumn="1" w:lastColumn="0" w:noHBand="0" w:noVBand="1"/>
      </w:tblPr>
      <w:tblGrid>
        <w:gridCol w:w="10301"/>
      </w:tblGrid>
      <w:tr>
        <w:trPr>
          <w:trHeight w:val="9791"/>
        </w:trPr>
        <w:tc>
          <w:tcPr>
            <w:tcW w:w="10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pacing w:before="120"/>
              <w:rPr>
                <w:rFonts w:cs="Arial"/>
                <w:iCs/>
                <w:color w:val="auto"/>
                <w:lang w:val="en-US"/>
              </w:rPr>
            </w:pPr>
            <w:r>
              <w:rPr>
                <w:rFonts w:cs="Arial"/>
                <w:iCs/>
                <w:color w:val="auto"/>
              </w:rPr>
              <w:t xml:space="preserve">Our intention is that all pupils, irrespective of their background or the challenges they face, make good progress and achieve high attainment across all subject areas. </w:t>
            </w:r>
            <w:r>
              <w:rPr>
                <w:rFonts w:cs="Arial"/>
                <w:iCs/>
                <w:color w:val="auto"/>
                <w:lang w:val="en-US"/>
              </w:rPr>
              <w:t xml:space="preserve">The focus of our pupil premium strategy is to support disadvantaged pupils to achieve that goal, including progress for those who are already high attainers. </w:t>
            </w:r>
          </w:p>
          <w:p>
            <w:pPr>
              <w:spacing w:before="120"/>
              <w:rPr>
                <w:rFonts w:cs="Arial"/>
                <w:iCs/>
                <w:color w:val="auto"/>
                <w:lang w:val="en-US"/>
              </w:rPr>
            </w:pPr>
            <w:r>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pPr>
              <w:spacing w:before="120"/>
            </w:pPr>
            <w:r>
              <w:t xml:space="preserve">Common barriers to learning for disadvantaged students can include weak language and communication skills, lack of confidence, attendance and punctuality issues and more frequent behaviour issues. There may be complex situations that prevent children from flourishing. We recognise that the challenges are varied and there is no ‘one size fits all’. </w:t>
            </w:r>
          </w:p>
          <w:p>
            <w:pPr>
              <w:spacing w:before="120"/>
              <w:rPr>
                <w:rFonts w:cs="Arial"/>
                <w:iCs/>
                <w:color w:val="auto"/>
              </w:rPr>
            </w:pPr>
            <w:r>
              <w:t xml:space="preserve">When creating our PP Strategy, we recognise the importance of considering research conducted by the EEF to support decisions made around the usefulness and implementation of different strategies. As recognised by the EFF we acknowledge that ‘good teaching is the most important lever schools have to improve outcomes for disadvantaged students.’ </w:t>
            </w:r>
            <w:r>
              <w:rPr>
                <w:rFonts w:cs="Arial"/>
                <w:iCs/>
                <w:color w:val="auto"/>
                <w:lang w:val="en-US"/>
              </w:rPr>
              <w:t xml:space="preserve">This is proven to have the greatest impact on closing the disadvantage attainment gap and at the same time will benefit the non-disadvantaged pupils in our school. </w:t>
            </w:r>
            <w:r>
              <w:rPr>
                <w:iCs/>
                <w:color w:val="auto"/>
                <w:lang w:val="en-US"/>
              </w:rPr>
              <w:t>Implicit in the intended outcomes detailed below, is the intention that non-disadvantaged pupils’ attainment will be sustained and improved alongside progress for their disadvantaged peers.</w:t>
            </w:r>
          </w:p>
          <w:p>
            <w:pPr>
              <w:rPr>
                <w:rFonts w:cs="Arial"/>
                <w:color w:val="auto"/>
              </w:rPr>
            </w:pPr>
            <w:r>
              <w:rPr>
                <w:rFonts w:cs="Arial"/>
                <w:color w:val="auto"/>
              </w:rPr>
              <w:t xml:space="preserve">Our strategy is also integral to wider school plans for education recovery, notably in its targeted support through personalised high quality intervention for pupils whose education has been worst affected, including non-disadvantaged pupils.    </w:t>
            </w:r>
          </w:p>
          <w:p>
            <w:pPr>
              <w:spacing w:after="120"/>
              <w:rPr>
                <w:rFonts w:cs="Arial"/>
                <w:iCs/>
                <w:color w:val="auto"/>
                <w:lang w:val="en-US"/>
              </w:rPr>
            </w:pPr>
            <w:r>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pPr>
              <w:numPr>
                <w:ilvl w:val="0"/>
                <w:numId w:val="14"/>
              </w:numPr>
              <w:suppressAutoHyphens w:val="0"/>
              <w:autoSpaceDN/>
              <w:contextualSpacing/>
              <w:rPr>
                <w:rFonts w:cs="Arial"/>
                <w:iCs/>
                <w:color w:val="auto"/>
                <w:lang w:val="en-US"/>
              </w:rPr>
            </w:pPr>
            <w:r>
              <w:rPr>
                <w:rFonts w:cs="Arial"/>
                <w:iCs/>
                <w:color w:val="auto"/>
                <w:lang w:val="en-US"/>
              </w:rPr>
              <w:t>ensure disadvantaged pupils are supported and challenged in the work that they’re set</w:t>
            </w:r>
          </w:p>
          <w:p>
            <w:pPr>
              <w:numPr>
                <w:ilvl w:val="0"/>
                <w:numId w:val="14"/>
              </w:numPr>
              <w:suppressAutoHyphens w:val="0"/>
              <w:autoSpaceDN/>
              <w:contextualSpacing/>
              <w:rPr>
                <w:rFonts w:cs="Arial"/>
                <w:iCs/>
                <w:color w:val="auto"/>
                <w:lang w:val="en-US"/>
              </w:rPr>
            </w:pPr>
            <w:r>
              <w:rPr>
                <w:rFonts w:cs="Arial"/>
                <w:color w:val="auto"/>
              </w:rPr>
              <w:t>act early to intervene at the point need is identified</w:t>
            </w:r>
          </w:p>
          <w:p>
            <w:pPr>
              <w:numPr>
                <w:ilvl w:val="0"/>
                <w:numId w:val="13"/>
              </w:numPr>
              <w:suppressAutoHyphens w:val="0"/>
              <w:autoSpaceDN/>
              <w:contextualSpacing/>
              <w:rPr>
                <w:i/>
                <w:iCs/>
              </w:rPr>
            </w:pPr>
            <w:r>
              <w:rPr>
                <w:rFonts w:cs="Arial"/>
                <w:color w:val="auto"/>
              </w:rPr>
              <w:t>adopt a whole school approach in which all staff take responsibility for disadvantaged pupils’ outcomes and raise expectations of what they can achieve</w:t>
            </w:r>
          </w:p>
          <w:p>
            <w:pPr>
              <w:numPr>
                <w:ilvl w:val="0"/>
                <w:numId w:val="13"/>
              </w:numPr>
              <w:suppressAutoHyphens w:val="0"/>
              <w:autoSpaceDN/>
              <w:contextualSpacing/>
              <w:rPr>
                <w:i/>
                <w:iCs/>
              </w:rPr>
            </w:pPr>
            <w:r>
              <w:t>develop strong parental engagement and effective relationships with parents.</w:t>
            </w:r>
          </w:p>
          <w:p>
            <w:pPr>
              <w:rPr>
                <w:i/>
                <w:iCs/>
              </w:rPr>
            </w:pPr>
          </w:p>
        </w:tc>
      </w:tr>
    </w:tbl>
    <w:p>
      <w:pPr>
        <w:pStyle w:val="Heading2"/>
        <w:spacing w:before="600"/>
      </w:pPr>
      <w:r>
        <w:lastRenderedPageBreak/>
        <w:t>Challenges</w:t>
      </w:r>
    </w:p>
    <w:p>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 xml:space="preserve">Detail of challenge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pPr>
            <w:r>
              <w:rPr>
                <w:sz w:val="22"/>
                <w:szCs w:val="22"/>
              </w:rPr>
              <w:t xml:space="preserve">SEMH- children are displaying more social, emotional, and mental health issues. We see this in their behaviours, friendships and discussions with parents.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szCs w:val="22"/>
              </w:rPr>
            </w:pPr>
            <w:r>
              <w:rPr>
                <w:sz w:val="22"/>
                <w:szCs w:val="22"/>
              </w:rPr>
              <w:t>Reading - assessments show that disadvantaged pupils in KS1 are not achieving as well as peers in reading and this needs to be improved.</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szCs w:val="22"/>
              </w:rPr>
            </w:pPr>
            <w:r>
              <w:rPr>
                <w:sz w:val="22"/>
                <w:szCs w:val="22"/>
              </w:rPr>
              <w:t xml:space="preserve">Writing- assessments show that disadvantaged pupils are not achieving as well as peers and writing is an area across the school that needs to be improved.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szCs w:val="22"/>
              </w:rPr>
            </w:pPr>
            <w:r>
              <w:rPr>
                <w:sz w:val="22"/>
                <w:szCs w:val="22"/>
              </w:rPr>
              <w:t>Gaps in learning due to COVID.</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iCs/>
                <w:sz w:val="22"/>
              </w:rPr>
            </w:pPr>
            <w:r>
              <w:rPr>
                <w:sz w:val="22"/>
                <w:szCs w:val="22"/>
              </w:rPr>
              <w:t xml:space="preserve">Attendance- attendance monitoring shows disadvantaged pupils have lower attendance than peers </w:t>
            </w:r>
          </w:p>
        </w:tc>
      </w:tr>
      <w:t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2"/>
              </w:rPr>
            </w:pPr>
            <w:bookmarkStart w:id="17"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iCs/>
                <w:sz w:val="22"/>
              </w:rPr>
            </w:pPr>
            <w:r>
              <w:rPr>
                <w:iCs/>
                <w:sz w:val="22"/>
              </w:rPr>
              <w:t xml:space="preserve">Financial barriers at home- families are unable to access technology, uniform or access clubs and trips when enrich the curriculum for all children. </w:t>
            </w:r>
          </w:p>
        </w:tc>
      </w:tr>
    </w:tbl>
    <w:p>
      <w:pPr>
        <w:pStyle w:val="Heading2"/>
        <w:spacing w:before="600"/>
      </w:pPr>
      <w:r>
        <w:t xml:space="preserve">Intended outcomes </w:t>
      </w:r>
    </w:p>
    <w:p>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957"/>
        <w:gridCol w:w="5499"/>
      </w:tblGrid>
      <w:tr>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Intended outcome</w:t>
            </w:r>
          </w:p>
        </w:tc>
        <w:tc>
          <w:tcPr>
            <w:tcW w:w="54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Success criteria</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Improved phonics attainment among disadvantaged pupils.</w:t>
            </w:r>
          </w:p>
          <w:p>
            <w:pPr>
              <w:pStyle w:val="TableRow"/>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Cs w:val="24"/>
              </w:rPr>
            </w:pPr>
            <w:r>
              <w:rPr>
                <w:szCs w:val="24"/>
              </w:rPr>
              <w:t xml:space="preserve">Disadvantaged pupils show improvement in phonics score and will pass Year 1 or retake in Year 2 </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Improved reading attainment and progress for disadvantaged pupils at the end of KS2</w:t>
            </w: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Cs w:val="24"/>
              </w:rPr>
            </w:pPr>
            <w:r>
              <w:rPr>
                <w:szCs w:val="24"/>
              </w:rPr>
              <w:t xml:space="preserve">Disadvantaged pupils show improvement in reading attainment and progress. </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Improved writing attainment and progress for disadvantaged pupils at the end of KS2</w:t>
            </w: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Cs w:val="24"/>
              </w:rPr>
            </w:pPr>
            <w:r>
              <w:rPr>
                <w:szCs w:val="24"/>
              </w:rPr>
              <w:t xml:space="preserve">Attainment and progress of disadvantaged pupils is at least in line with peers. </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To achieve and sustain improved wellbeing for all pupils in our school, particularly our disadvantaged pupils.</w:t>
            </w:r>
          </w:p>
          <w:p>
            <w:pPr>
              <w:pStyle w:val="TableRow"/>
              <w:ind w:left="0"/>
              <w:rPr>
                <w:sz w:val="22"/>
                <w:szCs w:val="22"/>
              </w:rPr>
            </w:pP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pPr>
            <w:r>
              <w:t xml:space="preserve">Sustained high levels of wellbeing from 2023/24 demonstrated by qualitative data from pupil voice, including pupil surveys and parent surveys and staff observations, particularly during unstructured times in the school day. </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To achieve and sustain improved attendance for all pupils, particularly our disadvantaged pupils.</w:t>
            </w: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Cs w:val="24"/>
              </w:rPr>
            </w:pPr>
            <w:r>
              <w:rPr>
                <w:szCs w:val="24"/>
              </w:rPr>
              <w:t xml:space="preserve">Attendance of disadvantaged pupils is above 95% </w:t>
            </w:r>
          </w:p>
        </w:tc>
      </w:tr>
      <w:t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color w:val="auto"/>
              </w:rPr>
            </w:pPr>
            <w:r>
              <w:t xml:space="preserve">To ensure access to rich and varied opportunities for all children, particularly our disadvantaged children, within and beyond the curriculum. </w:t>
            </w:r>
          </w:p>
        </w:tc>
        <w:tc>
          <w:tcPr>
            <w:tcW w:w="5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pPr>
            <w:r>
              <w:t xml:space="preserve">Evidence of disadvantaged children participating in enrichment activities through curriculum and extracurricular activities to broaden their experience and build cultural capital. </w:t>
            </w:r>
          </w:p>
        </w:tc>
      </w:tr>
    </w:tbl>
    <w:p>
      <w:pPr>
        <w:suppressAutoHyphens w:val="0"/>
        <w:spacing w:after="0" w:line="240" w:lineRule="auto"/>
        <w:rPr>
          <w:b/>
          <w:color w:val="104F75"/>
          <w:sz w:val="32"/>
          <w:szCs w:val="32"/>
        </w:rPr>
      </w:pPr>
      <w:r>
        <w:br w:type="page"/>
        <w:t>Activity in this academic year</w:t>
      </w:r>
    </w:p>
    <w:p>
      <w:pPr>
        <w:spacing w:after="480"/>
      </w:pPr>
      <w:r>
        <w:t xml:space="preserve">This details how we intend to spend our pupil premium (and recovery premium funding) </w:t>
      </w:r>
      <w:r>
        <w:rPr>
          <w:b/>
          <w:bCs/>
        </w:rPr>
        <w:t>this academic year</w:t>
      </w:r>
      <w:r>
        <w:t xml:space="preserve"> to address the challenges listed above.</w:t>
      </w:r>
    </w:p>
    <w:p>
      <w:pPr>
        <w:pStyle w:val="Heading3"/>
      </w:pPr>
      <w:r>
        <w:t>Teaching (for example, CPD, recruitment and retention)</w:t>
      </w:r>
    </w:p>
    <w:p>
      <w:r>
        <w:t>Budgeted cost: £ 5,340</w:t>
      </w:r>
    </w:p>
    <w:tbl>
      <w:tblPr>
        <w:tblW w:w="5000" w:type="pct"/>
        <w:tblLayout w:type="fixed"/>
        <w:tblCellMar>
          <w:left w:w="10" w:type="dxa"/>
          <w:right w:w="10" w:type="dxa"/>
        </w:tblCellMar>
        <w:tblLook w:val="04A0" w:firstRow="1" w:lastRow="0" w:firstColumn="1" w:lastColumn="0" w:noHBand="0" w:noVBand="1"/>
      </w:tblPr>
      <w:tblGrid>
        <w:gridCol w:w="2263"/>
        <w:gridCol w:w="6521"/>
        <w:gridCol w:w="1672"/>
      </w:tblGrid>
      <w:tr>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65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1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26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Little Wandle resources, a DfE validated Systematic Synthetic Phonics programme to secure stronger phonics teaching for all pupils.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Phonics approaches have a strong evidence base that indicates a positive impact on the accuracy of word reading (though not necessarily comprehension), particularly for disadvantaged pupils:</w:t>
            </w:r>
          </w:p>
          <w:p>
            <w:pPr>
              <w:pStyle w:val="TableRowCentered"/>
              <w:jc w:val="left"/>
              <w:rPr>
                <w:sz w:val="22"/>
              </w:rPr>
            </w:pPr>
            <w:hyperlink r:id="rId9" w:history="1">
              <w:r>
                <w:rPr>
                  <w:rStyle w:val="Hyperlink"/>
                </w:rPr>
                <w:t>https://educationendowmentfoundation.org.uk/education-evidence/teaching-learning-toolkit/phonics</w:t>
              </w:r>
            </w:hyperlink>
            <w: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2,3, 4</w:t>
            </w:r>
          </w:p>
        </w:tc>
      </w:tr>
      <w:t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Additional Catch-up sessions targeted at disadvantaged pupils who require further phonics support.</w:t>
            </w:r>
          </w:p>
          <w:p>
            <w:pPr>
              <w:pStyle w:val="TableRowCentered"/>
              <w:jc w:val="left"/>
              <w:rPr>
                <w:sz w:val="22"/>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color w:val="auto"/>
              </w:rPr>
            </w:pPr>
            <w:r>
              <w:rPr>
                <w:sz w:val="22"/>
              </w:rPr>
              <w:t>Identifying the needs of individual pupils for additional phonics, reading and communication/language. Using the prescribed assessment. Phonics approaches have a strong evidence base indicating a positive impact on pupils, particularly from disadvantaged backgrounds. Targeted phonics interventions have been shown to be more effective when delivered as regular sessions over a period up to 12 weeks</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2,3,4</w:t>
            </w:r>
          </w:p>
        </w:tc>
      </w:tr>
      <w:t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Improve the quality of social and emotional (SEL) learning. SEL approaches will be embedded into routine educational practices and supported by professional development and training for staff</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There is extensive evidence associating childhood social and emotional skills with improved outcomes at school and in later life</w:t>
            </w:r>
          </w:p>
          <w:p>
            <w:pPr>
              <w:rPr>
                <w:b/>
                <w:bCs/>
              </w:rPr>
            </w:pPr>
            <w:hyperlink r:id="rId10" w:history="1">
              <w:r>
                <w:rPr>
                  <w:color w:val="0070C0"/>
                  <w:u w:val="single"/>
                </w:rPr>
                <w:t>EEF_Social_and_Emotional_Learning.pdf(educationendowmentfoundation.org.uk)</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w:t>
            </w:r>
          </w:p>
        </w:tc>
      </w:tr>
      <w:t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Purchase of standardised diagnostic assessments. </w:t>
            </w:r>
          </w:p>
          <w:p>
            <w:pPr>
              <w:pStyle w:val="TableRowCentered"/>
              <w:jc w:val="left"/>
              <w:rPr>
                <w:sz w:val="22"/>
              </w:rPr>
            </w:pPr>
            <w:r>
              <w:rPr>
                <w:sz w:val="22"/>
              </w:rPr>
              <w:t>Training for staff to ensure assessments are interpreted and administered correctly.</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rPr>
            </w:pPr>
            <w:r>
              <w:rPr>
                <w:sz w:val="22"/>
              </w:rPr>
              <w:t>Standardised tests can provide reliable insights into the specific strengths and weaknesses of each pupil to help ensure they receive the correct additional support through interventions or teacher instruction:</w:t>
            </w:r>
          </w:p>
          <w:p>
            <w:pPr>
              <w:suppressAutoHyphens w:val="0"/>
              <w:spacing w:after="0" w:line="240" w:lineRule="auto"/>
            </w:pPr>
            <w:hyperlink r:id="rId11" w:history="1">
              <w:r>
                <w:rPr>
                  <w:color w:val="0070C0"/>
                  <w:u w:val="single"/>
                </w:rPr>
                <w:t>Standardised tests | Assessing and Monitoring Pupil Progress | Education Endowment Foundation | EEF</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rPr>
            </w:pPr>
            <w:r>
              <w:rPr>
                <w:sz w:val="22"/>
              </w:rPr>
              <w:t>2,3, 4</w:t>
            </w:r>
          </w:p>
        </w:tc>
      </w:tr>
      <w:t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 xml:space="preserve">CPD on metacognition and self-regulation. </w:t>
            </w:r>
          </w:p>
          <w:p>
            <w:pPr>
              <w:suppressAutoHyphens w:val="0"/>
              <w:spacing w:after="0" w:line="240" w:lineRule="auto"/>
              <w:rPr>
                <w:iCs/>
                <w:color w:val="auto"/>
                <w:lang w:val="en-US"/>
              </w:rPr>
            </w:pPr>
            <w:r>
              <w:rPr>
                <w:sz w:val="22"/>
                <w:szCs w:val="20"/>
              </w:rPr>
              <w:t>Whole school CPD sessions following ‘Rosenshine’ principles and self-regulation approaches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Metacognition and self-regulation approaches to teaching support pupils to think about their own learning more explicitly, often by teaching them specific strategies for planning, monitoring, and evaluating their learning.</w:t>
            </w:r>
          </w:p>
          <w:p>
            <w:pPr>
              <w:pStyle w:val="TableRowCentered"/>
              <w:jc w:val="left"/>
              <w:rPr>
                <w:color w:val="auto"/>
                <w:szCs w:val="24"/>
              </w:rPr>
            </w:pPr>
            <w:hyperlink r:id="rId12" w:history="1">
              <w:r>
                <w:rPr>
                  <w:rStyle w:val="Hyperlink"/>
                  <w:szCs w:val="24"/>
                </w:rPr>
                <w:t>https://educationendowmentfoundation.org.uk/education-evidence/teaching-learning-toolkit/metacognition-and-self-regulation</w:t>
              </w:r>
            </w:hyperlink>
            <w:r>
              <w:rPr>
                <w:color w:val="auto"/>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rPr>
            </w:pPr>
            <w:r>
              <w:rPr>
                <w:sz w:val="22"/>
              </w:rPr>
              <w:t>1,2,3,4</w:t>
            </w:r>
          </w:p>
        </w:tc>
      </w:tr>
      <w:t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CPD for staff for NELI programme (The Nuffield Early Language Intervention)</w:t>
            </w:r>
          </w:p>
          <w:p>
            <w:pPr>
              <w:suppressAutoHyphens w:val="0"/>
              <w:spacing w:after="0" w:line="240" w:lineRule="auto"/>
              <w:rPr>
                <w:sz w:val="22"/>
                <w:szCs w:val="20"/>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Identifying children’s language needs early and providing them with targeted language support ensures they have the fundamental foundations needed for good language and social and emotional development as well as later literacy and numeracy skills</w:t>
            </w:r>
          </w:p>
          <w:p>
            <w:pPr>
              <w:suppressAutoHyphens w:val="0"/>
              <w:spacing w:after="0" w:line="240" w:lineRule="auto"/>
              <w:rPr>
                <w:sz w:val="22"/>
                <w:szCs w:val="20"/>
              </w:rPr>
            </w:pPr>
            <w:hyperlink r:id="rId13" w:history="1">
              <w:r>
                <w:rPr>
                  <w:rStyle w:val="Hyperlink"/>
                  <w:sz w:val="22"/>
                </w:rPr>
                <w:t>https://educationendowmentfoundation.org.uk/projects-and-evaluation/projects/nuffield-early-language-intervention</w:t>
              </w:r>
            </w:hyperlink>
            <w:r>
              <w:rPr>
                <w:sz w:val="22"/>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ind w:left="0"/>
              <w:jc w:val="left"/>
              <w:rPr>
                <w:sz w:val="22"/>
              </w:rPr>
            </w:pPr>
            <w:r>
              <w:rPr>
                <w:sz w:val="22"/>
              </w:rPr>
              <w:t>1, 2, 3, 4</w:t>
            </w:r>
          </w:p>
        </w:tc>
      </w:tr>
    </w:tbl>
    <w:p>
      <w:pPr>
        <w:rPr>
          <w:b/>
          <w:bCs/>
          <w:color w:val="104F75"/>
          <w:sz w:val="28"/>
          <w:szCs w:val="28"/>
        </w:rPr>
      </w:pPr>
    </w:p>
    <w:p>
      <w:pPr>
        <w:rPr>
          <w:b/>
          <w:bCs/>
          <w:color w:val="104F75"/>
          <w:sz w:val="28"/>
          <w:szCs w:val="28"/>
        </w:rPr>
      </w:pPr>
      <w:r>
        <w:rPr>
          <w:b/>
          <w:bCs/>
          <w:color w:val="104F75"/>
          <w:sz w:val="28"/>
          <w:szCs w:val="28"/>
        </w:rPr>
        <w:t xml:space="preserve">Targeted academic support (for example, tutoring, one-to-one support structured interventions) </w:t>
      </w:r>
    </w:p>
    <w:p>
      <w:r>
        <w:t xml:space="preserve">Budgeted cost: £ </w:t>
      </w:r>
      <w:r>
        <w:rPr>
          <w:iCs/>
        </w:rPr>
        <w:t>7,000</w:t>
      </w:r>
    </w:p>
    <w:tbl>
      <w:tblPr>
        <w:tblW w:w="5000" w:type="pct"/>
        <w:tblCellMar>
          <w:left w:w="10" w:type="dxa"/>
          <w:right w:w="10" w:type="dxa"/>
        </w:tblCellMar>
        <w:tblLook w:val="04A0" w:firstRow="1" w:lastRow="0" w:firstColumn="1" w:lastColumn="0" w:noHBand="0" w:noVBand="1"/>
      </w:tblPr>
      <w:tblGrid>
        <w:gridCol w:w="2676"/>
        <w:gridCol w:w="5976"/>
        <w:gridCol w:w="1804"/>
      </w:tblGrid>
      <w:tr>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52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17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Maths specialist targeting disadvantaged pupils who require maths support</w:t>
            </w:r>
          </w:p>
          <w:p>
            <w:pPr>
              <w:pStyle w:val="TableRow"/>
              <w:rPr>
                <w:sz w:val="22"/>
                <w:szCs w:val="20"/>
              </w:rPr>
            </w:pP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Tuition targeted at specific needs and knowledge gaps can be an effective method to support low attaining pupils or those falling behind, Small group tuition | Toolkit Strand | Education Endowment Foundation | EEF 1 2 3 4 7 including those who are high attainers</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1, 4 </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Curriculum Support Staff</w:t>
            </w:r>
          </w:p>
          <w:p>
            <w:pPr>
              <w:suppressAutoHyphens w:val="0"/>
              <w:spacing w:after="0" w:line="240" w:lineRule="auto"/>
              <w:rPr>
                <w:sz w:val="22"/>
                <w:szCs w:val="20"/>
              </w:rPr>
            </w:pP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Support staff to support disadvantaged pupils in class.</w:t>
            </w:r>
          </w:p>
          <w:p>
            <w:pPr>
              <w:pStyle w:val="TableRowCentered"/>
              <w:jc w:val="left"/>
              <w:rPr>
                <w:sz w:val="22"/>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1,3, 4</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Small group and individual personalised sessions to target those that have fallen behind ARE.</w:t>
            </w: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Small group personalised learning is most likely to be effective when targeted at pupil’s specific needs. EEF, Small group tuition, average 4+ months impact.</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1,2,3,4</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Introduction of the NELI programme (The Nuffield Early Language Intervention)</w:t>
            </w:r>
          </w:p>
          <w:p>
            <w:pPr>
              <w:suppressAutoHyphens w:val="0"/>
              <w:spacing w:after="0" w:line="240" w:lineRule="auto"/>
            </w:pP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Identifying children’s language needs early and providing them with targeted language support ensures they have the fundamental foundations needed for good language and social and emotional development as well as later literacy and numeracy skills</w:t>
            </w:r>
          </w:p>
          <w:p>
            <w:pPr>
              <w:pStyle w:val="TableRowCentered"/>
              <w:jc w:val="left"/>
              <w:rPr>
                <w:sz w:val="22"/>
              </w:rPr>
            </w:pPr>
            <w:hyperlink r:id="rId14" w:history="1">
              <w:r>
                <w:rPr>
                  <w:rStyle w:val="Hyperlink"/>
                  <w:sz w:val="22"/>
                </w:rPr>
                <w:t>https://educationendowmentfoundation.org.uk/projects-and-evaluation/projects/nuffield-early-language-intervention</w:t>
              </w:r>
            </w:hyperlink>
            <w:r>
              <w:rPr>
                <w:sz w:val="22"/>
              </w:rPr>
              <w:t xml:space="preserve"> </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1, 2, 3, 4</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uppressAutoHyphens w:val="0"/>
              <w:spacing w:after="0" w:line="240" w:lineRule="auto"/>
              <w:rPr>
                <w:sz w:val="22"/>
                <w:szCs w:val="20"/>
              </w:rPr>
            </w:pPr>
            <w:r>
              <w:rPr>
                <w:sz w:val="22"/>
                <w:szCs w:val="20"/>
              </w:rPr>
              <w:t xml:space="preserve">Additional phonics sessions targeted at disadvantaged pupils who require further phonics support </w:t>
            </w:r>
          </w:p>
          <w:p>
            <w:pPr>
              <w:pStyle w:val="TableRow"/>
              <w:rPr>
                <w:sz w:val="22"/>
                <w:szCs w:val="20"/>
              </w:rPr>
            </w:pP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pPr>
              <w:pStyle w:val="TableRowCentered"/>
              <w:jc w:val="left"/>
              <w:rPr>
                <w:sz w:val="22"/>
              </w:rPr>
            </w:pPr>
            <w:hyperlink r:id="rId15" w:history="1">
              <w:r>
                <w:rPr>
                  <w:sz w:val="22"/>
                </w:rPr>
                <w:t>Phonics | Toolkit Strand | Education Endowment Foundation | EEF</w:t>
              </w:r>
            </w:hyperlink>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2, 3, 4</w:t>
            </w:r>
          </w:p>
        </w:tc>
      </w:tr>
      <w:t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r>
              <w:rPr>
                <w:sz w:val="22"/>
                <w:szCs w:val="20"/>
              </w:rPr>
              <w:t>Purchase of further phonics resources for identified groups of pupils</w:t>
            </w:r>
          </w:p>
        </w:tc>
        <w:tc>
          <w:tcPr>
            <w:tcW w:w="5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pPr>
              <w:pStyle w:val="TableRowCentered"/>
              <w:jc w:val="left"/>
              <w:rPr>
                <w:rFonts w:cs="Arial"/>
                <w:color w:val="auto"/>
                <w:szCs w:val="24"/>
              </w:rPr>
            </w:pPr>
            <w:hyperlink r:id="rId16" w:history="1">
              <w:r>
                <w:rPr>
                  <w:color w:val="0070C0"/>
                  <w:szCs w:val="24"/>
                  <w:u w:val="single"/>
                </w:rPr>
                <w:t>Phonics | Toolkit Strand | Education Endowment Foundation | EEF</w:t>
              </w:r>
            </w:hyperlink>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2, 3, 4</w:t>
            </w:r>
          </w:p>
        </w:tc>
      </w:tr>
    </w:tbl>
    <w:p>
      <w:pPr>
        <w:spacing w:after="0"/>
        <w:rPr>
          <w:b/>
          <w:color w:val="104F75"/>
          <w:sz w:val="28"/>
          <w:szCs w:val="28"/>
        </w:rPr>
      </w:pPr>
    </w:p>
    <w:p>
      <w:pPr>
        <w:rPr>
          <w:b/>
          <w:color w:val="104F75"/>
          <w:sz w:val="28"/>
          <w:szCs w:val="28"/>
        </w:rPr>
      </w:pPr>
      <w:r>
        <w:rPr>
          <w:b/>
          <w:color w:val="104F75"/>
          <w:sz w:val="28"/>
          <w:szCs w:val="28"/>
        </w:rPr>
        <w:t>Wider strategies (for example, related to attendance, behaviour, wellbeing)</w:t>
      </w:r>
    </w:p>
    <w:p>
      <w:pPr>
        <w:spacing w:before="240" w:after="120"/>
      </w:pPr>
      <w:r>
        <w:t>Budgeted cost: £ 15,000</w:t>
      </w:r>
    </w:p>
    <w:tbl>
      <w:tblPr>
        <w:tblW w:w="5000" w:type="pct"/>
        <w:tblCellMar>
          <w:left w:w="10" w:type="dxa"/>
          <w:right w:w="10" w:type="dxa"/>
        </w:tblCellMar>
        <w:tblLook w:val="04A0" w:firstRow="1" w:lastRow="0" w:firstColumn="1" w:lastColumn="0" w:noHBand="0" w:noVBand="1"/>
      </w:tblPr>
      <w:tblGrid>
        <w:gridCol w:w="2401"/>
        <w:gridCol w:w="5735"/>
        <w:gridCol w:w="2320"/>
      </w:tblGrid>
      <w:tr>
        <w:tc>
          <w:tcPr>
            <w:tcW w:w="24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Activity</w:t>
            </w:r>
          </w:p>
        </w:tc>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Evidence that supports this approach</w:t>
            </w:r>
          </w:p>
        </w:tc>
        <w:tc>
          <w:tcPr>
            <w:tcW w:w="23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Challenge number(s) addressed</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To improve and support SEMH across the school for all children.</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Play therapist- SDQ and other questionnaires competed before and after sessions show improvement in SEMH in school and home. </w:t>
            </w:r>
          </w:p>
          <w:p>
            <w:pPr>
              <w:pStyle w:val="TableRowCentered"/>
              <w:jc w:val="left"/>
              <w:rPr>
                <w:sz w:val="22"/>
              </w:rPr>
            </w:pPr>
          </w:p>
          <w:p>
            <w:pPr>
              <w:pStyle w:val="TableRowCentered"/>
              <w:jc w:val="left"/>
              <w:rPr>
                <w:sz w:val="22"/>
              </w:rPr>
            </w:pPr>
            <w:r>
              <w:rPr>
                <w:sz w:val="22"/>
              </w:rPr>
              <w:t xml:space="preserve">ZOR- children are regulated and ready for learning. Survey’s completed before and during ZOR input. </w:t>
            </w:r>
          </w:p>
          <w:p>
            <w:pPr>
              <w:pStyle w:val="TableRowCentered"/>
              <w:ind w:left="0"/>
              <w:jc w:val="left"/>
              <w:rPr>
                <w:sz w:val="22"/>
              </w:rPr>
            </w:pP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 xml:space="preserve">To improve attendance across the school with particular focus on disadvantaged pupils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Parent Support Advisor to work with families to improve attendance. </w:t>
            </w:r>
          </w:p>
          <w:p>
            <w:pPr>
              <w:pStyle w:val="TableRowCentered"/>
              <w:jc w:val="left"/>
              <w:rPr>
                <w:sz w:val="22"/>
              </w:rPr>
            </w:pPr>
            <w:r>
              <w:rPr>
                <w:sz w:val="22"/>
              </w:rPr>
              <w:t xml:space="preserve">The DfE guidance has been informed by engagement with schools that have significantly reduced levels of absence and persistent absence.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1, 2, 3, 4,5, 6</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 xml:space="preserve">To improve friendship issues that may arise during break and lunchtimes.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Peer mediators’ scheme- enabling children in Year 6 to take on the role of peer mediators, helping children to resolve conflict through conversations. </w:t>
            </w:r>
          </w:p>
          <w:p>
            <w:pPr>
              <w:pStyle w:val="TableRowCentered"/>
              <w:jc w:val="left"/>
              <w:rPr>
                <w:sz w:val="22"/>
              </w:rPr>
            </w:pPr>
            <w:r>
              <w:rPr>
                <w:sz w:val="22"/>
              </w:rPr>
              <w:t>Reduction in amount of friendship issues that occur during lunchtimes</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To ensure funding is available for children to take part in clubs and trips.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 xml:space="preserve">Children are able to take part in all aspects of school life. </w:t>
            </w:r>
          </w:p>
          <w:p>
            <w:pPr>
              <w:pStyle w:val="TableRowCentered"/>
              <w:jc w:val="left"/>
              <w:rPr>
                <w:sz w:val="22"/>
              </w:rPr>
            </w:pPr>
            <w:r>
              <w:rPr>
                <w:sz w:val="22"/>
              </w:rPr>
              <w:t xml:space="preserve">EEF Arts, average 3+ months impact.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6</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To implement the Resilience Toolkit using a Whole School Approach</w:t>
            </w:r>
          </w:p>
          <w:p>
            <w:pPr>
              <w:pStyle w:val="TableRow"/>
              <w:rPr>
                <w:sz w:val="22"/>
                <w:szCs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It is widely recognised that a child’s emotional health and wellbeing influences their cognitive development and learning (1,2) as well as their physical and social health and their mental wellbeing in adulthood</w:t>
            </w:r>
          </w:p>
          <w:p>
            <w:pPr>
              <w:pStyle w:val="TableRow"/>
              <w:rPr>
                <w:sz w:val="22"/>
                <w:szCs w:val="20"/>
                <w:u w:val="single"/>
              </w:rPr>
            </w:pPr>
            <w:hyperlink r:id="rId17" w:history="1">
              <w:r>
                <w:rPr>
                  <w:color w:val="0070C0"/>
                  <w:sz w:val="22"/>
                  <w:szCs w:val="20"/>
                  <w:u w:val="single"/>
                </w:rPr>
                <w:t>https://www.gov.uk/government/publications/promoting-children-and-young-peoples-emotional-health-and-wellbeing</w:t>
              </w:r>
            </w:hyperlink>
            <w:r>
              <w:rPr>
                <w:sz w:val="22"/>
                <w:szCs w:val="20"/>
                <w:u w:val="single"/>
              </w:rPr>
              <w:t xml:space="preserve">  </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rPr>
                <w:sz w:val="22"/>
              </w:rPr>
            </w:pPr>
            <w:r>
              <w:rPr>
                <w:sz w:val="22"/>
              </w:rPr>
              <w:t>1, 2, 3, 4,</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 xml:space="preserve">Music Sessions: 1:1 and small group music lessons </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EEF Arts, average 3+ months impact.</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6</w:t>
            </w:r>
          </w:p>
        </w:tc>
      </w:tr>
      <w:tr>
        <w:tc>
          <w:tcPr>
            <w:tcW w:w="2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Contingency fund for acute issues.</w:t>
            </w:r>
          </w:p>
          <w:p>
            <w:pPr>
              <w:pStyle w:val="TableRow"/>
              <w:rPr>
                <w:sz w:val="22"/>
                <w:szCs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Based on our experiences and those of similar schools to ours, we have identified a need to set a small amount of funding aside to respond quickly to needs that have not yet been identified.</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rPr>
                <w:sz w:val="22"/>
                <w:szCs w:val="20"/>
              </w:rPr>
            </w:pPr>
            <w:r>
              <w:rPr>
                <w:sz w:val="22"/>
                <w:szCs w:val="20"/>
              </w:rPr>
              <w:t>all</w:t>
            </w:r>
          </w:p>
        </w:tc>
      </w:tr>
    </w:tbl>
    <w:p>
      <w:pPr>
        <w:spacing w:before="240" w:after="0"/>
        <w:rPr>
          <w:b/>
          <w:bCs/>
          <w:color w:val="104F75"/>
          <w:sz w:val="28"/>
          <w:szCs w:val="28"/>
        </w:rPr>
      </w:pPr>
    </w:p>
    <w:p>
      <w:r>
        <w:rPr>
          <w:b/>
          <w:bCs/>
          <w:color w:val="104F75"/>
          <w:sz w:val="28"/>
          <w:szCs w:val="28"/>
        </w:rPr>
        <w:t>Total budgeted cost: £</w:t>
      </w:r>
      <w:r>
        <w:rPr>
          <w:sz w:val="28"/>
          <w:szCs w:val="28"/>
        </w:rPr>
        <w:t>27,340</w:t>
      </w:r>
    </w:p>
    <w:p>
      <w:pPr>
        <w:pStyle w:val="Heading1"/>
      </w:pPr>
      <w:r>
        <w:t>Part B: Review of outcomes in the previous academic year 2021-2023</w:t>
      </w:r>
    </w:p>
    <w:p>
      <w:pPr>
        <w:pStyle w:val="Heading2"/>
      </w:pPr>
      <w:r>
        <w:t>Pupil premium strategy outcomes</w:t>
      </w:r>
    </w:p>
    <w:p>
      <w:r>
        <w:t xml:space="preserve">This details the impact that our pupil premium activity had on pupils in the 2021 to 2022 academic year. </w:t>
      </w:r>
    </w:p>
    <w:tbl>
      <w:tblPr>
        <w:tblW w:w="9493" w:type="dxa"/>
        <w:tblCellMar>
          <w:left w:w="10" w:type="dxa"/>
          <w:right w:w="10" w:type="dxa"/>
        </w:tblCellMar>
        <w:tblLook w:val="04A0" w:firstRow="1" w:lastRow="0" w:firstColumn="1" w:lastColumn="0" w:noHBand="0" w:noVBand="1"/>
      </w:tblPr>
      <w:tblGrid>
        <w:gridCol w:w="9493"/>
      </w:tblGrid>
      <w:tr>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spacing w:before="120"/>
            </w:pPr>
            <w:r>
              <w:t xml:space="preserve">Our internal assessments during 2021/2022 suggested that the performance of our Pupil Premium continues to need a strong focus particularly in the areas of reading and writing. </w:t>
            </w:r>
          </w:p>
          <w:p>
            <w:pPr>
              <w:spacing w:before="120"/>
            </w:pPr>
            <w:r>
              <w:t xml:space="preserve">The end of year phonics screening check data showed no pupil premium children met the pass rate. We recognise that the picture is more complex as there are additional factors which affect the outcomes. January 2022 saw the purchase of the DfE validated Little Wandle systematic synthetic phonics programme. In April 2022, we implemented Little Wandle after all EYFS, Year 1 and Year 2 staff were trained in the programme. Across the EYFS and Year 1, in term five, daily phonics sessions took place. </w:t>
            </w:r>
          </w:p>
          <w:p>
            <w:pPr>
              <w:spacing w:before="120"/>
            </w:pPr>
            <w:r>
              <w:t xml:space="preserve">The behaviour policy, which recognises barriers to positive learning behaviours and strategies to address these, has been updated, agreed by staff and implemented across the school. Self-regulation strategies are now in place and this has had a positive effect on not only behaviour but behaviour for learning. We recognise that behaviour is a form of communication and we therefore take responsibility for listening to the needs a child is expressing through their behaviour, whilst setting clear boundaries and expectations. Restorative conversations take place for children who have dysregulated in the day. This approach enables our pupils to learn from their behaviour and crucially, separates the behaviour from the child, as a protective factor for their mental health. </w:t>
            </w:r>
          </w:p>
          <w:p>
            <w:pPr>
              <w:spacing w:before="120"/>
            </w:pPr>
            <w:r>
              <w:t xml:space="preserve">Only 57% of pupil premium children attend school based clubs. This will be an area of focus for next year’s strategy. </w:t>
            </w:r>
          </w:p>
          <w:p>
            <w:pPr>
              <w:spacing w:before="120"/>
            </w:pPr>
            <w:r>
              <w:t xml:space="preserve">Financial support has enabled access to music, trips abroad to Seville, PGL, adventure centres, theatre performances and a wide range of enrichment activities which build cultural capital. </w:t>
            </w:r>
          </w:p>
          <w:p>
            <w:pPr>
              <w:spacing w:before="120"/>
            </w:pPr>
            <w:r>
              <w:t>Children working with the maths specialist have shown accelerated progress to match the attainment of their non-pupil premium peers and their outcomes are in line with age-related expectations at the end of Key Stage 2.</w:t>
            </w:r>
          </w:p>
          <w:p>
            <w:pPr>
              <w:spacing w:before="120"/>
            </w:pPr>
            <w:r>
              <w:t xml:space="preserve">Development in pedagogy using Rosenshine principles has ensured that teaching is of high quality, allowing learning to be broken into smaller steps with opportunities to consolidate and challenge learners. </w:t>
            </w:r>
          </w:p>
          <w:p>
            <w:pPr>
              <w:spacing w:before="120"/>
            </w:pPr>
            <w:r>
              <w:t xml:space="preserve">The school has a Parent Support Advisor who prioritises pupils with poor attendance and makes contact with families to reduce the barriers to regular attendance. Average attendance for 21/22 was 91% for pupil premium children with 66% falling below the target of 95%. As pupil premium attendance overall is lower than non-pupil premium peers, attendance continues to be focus in our current plan. </w:t>
            </w:r>
          </w:p>
        </w:tc>
      </w:tr>
    </w:tbl>
    <w:p>
      <w:pPr>
        <w:pStyle w:val="Heading2"/>
        <w:spacing w:before="600"/>
      </w:pPr>
      <w:r>
        <w:t>Externally provided programmes</w:t>
      </w:r>
    </w:p>
    <w:p>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pPr>
              <w:pStyle w:val="TableHeader"/>
              <w:jc w:val="left"/>
            </w:pPr>
            <w:r>
              <w:t>Provider</w:t>
            </w: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ind w:lef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pPr>
          </w:p>
        </w:tc>
      </w:tr>
      <w:t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pPr>
              <w:pStyle w:val="TableRowCentered"/>
              <w:jc w:val="left"/>
            </w:pPr>
          </w:p>
        </w:tc>
      </w:tr>
    </w:tbl>
    <w:p>
      <w:pPr>
        <w:spacing w:after="0" w:line="240" w:lineRule="auto"/>
      </w:pPr>
    </w:p>
    <w:bookmarkEnd w:id="15"/>
    <w:bookmarkEnd w:id="16"/>
    <w:bookmarkEnd w:id="17"/>
    <w:p/>
    <w:sectPr>
      <w:headerReference w:type="default" r:id="rId18"/>
      <w:footerReference w:type="default" r:id="rId19"/>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ind w:firstLine="4513"/>
    </w:pPr>
    <w:r>
      <w:fldChar w:fldCharType="begin"/>
    </w:r>
    <w:r>
      <w:instrText xml:space="preserve"> PAGE </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2486">
      <w:bodyDiv w:val="1"/>
      <w:marLeft w:val="0"/>
      <w:marRight w:val="0"/>
      <w:marTop w:val="0"/>
      <w:marBottom w:val="0"/>
      <w:divBdr>
        <w:top w:val="none" w:sz="0" w:space="0" w:color="auto"/>
        <w:left w:val="none" w:sz="0" w:space="0" w:color="auto"/>
        <w:bottom w:val="none" w:sz="0" w:space="0" w:color="auto"/>
        <w:right w:val="none" w:sz="0" w:space="0" w:color="auto"/>
      </w:divBdr>
    </w:div>
    <w:div w:id="157117013">
      <w:bodyDiv w:val="1"/>
      <w:marLeft w:val="0"/>
      <w:marRight w:val="0"/>
      <w:marTop w:val="0"/>
      <w:marBottom w:val="0"/>
      <w:divBdr>
        <w:top w:val="none" w:sz="0" w:space="0" w:color="auto"/>
        <w:left w:val="none" w:sz="0" w:space="0" w:color="auto"/>
        <w:bottom w:val="none" w:sz="0" w:space="0" w:color="auto"/>
        <w:right w:val="none" w:sz="0" w:space="0" w:color="auto"/>
      </w:divBdr>
    </w:div>
    <w:div w:id="209192453">
      <w:bodyDiv w:val="1"/>
      <w:marLeft w:val="0"/>
      <w:marRight w:val="0"/>
      <w:marTop w:val="0"/>
      <w:marBottom w:val="0"/>
      <w:divBdr>
        <w:top w:val="none" w:sz="0" w:space="0" w:color="auto"/>
        <w:left w:val="none" w:sz="0" w:space="0" w:color="auto"/>
        <w:bottom w:val="none" w:sz="0" w:space="0" w:color="auto"/>
        <w:right w:val="none" w:sz="0" w:space="0" w:color="auto"/>
      </w:divBdr>
    </w:div>
    <w:div w:id="234976643">
      <w:bodyDiv w:val="1"/>
      <w:marLeft w:val="0"/>
      <w:marRight w:val="0"/>
      <w:marTop w:val="0"/>
      <w:marBottom w:val="0"/>
      <w:divBdr>
        <w:top w:val="none" w:sz="0" w:space="0" w:color="auto"/>
        <w:left w:val="none" w:sz="0" w:space="0" w:color="auto"/>
        <w:bottom w:val="none" w:sz="0" w:space="0" w:color="auto"/>
        <w:right w:val="none" w:sz="0" w:space="0" w:color="auto"/>
      </w:divBdr>
    </w:div>
    <w:div w:id="248269305">
      <w:bodyDiv w:val="1"/>
      <w:marLeft w:val="0"/>
      <w:marRight w:val="0"/>
      <w:marTop w:val="0"/>
      <w:marBottom w:val="0"/>
      <w:divBdr>
        <w:top w:val="none" w:sz="0" w:space="0" w:color="auto"/>
        <w:left w:val="none" w:sz="0" w:space="0" w:color="auto"/>
        <w:bottom w:val="none" w:sz="0" w:space="0" w:color="auto"/>
        <w:right w:val="none" w:sz="0" w:space="0" w:color="auto"/>
      </w:divBdr>
    </w:div>
    <w:div w:id="284502695">
      <w:bodyDiv w:val="1"/>
      <w:marLeft w:val="0"/>
      <w:marRight w:val="0"/>
      <w:marTop w:val="0"/>
      <w:marBottom w:val="0"/>
      <w:divBdr>
        <w:top w:val="none" w:sz="0" w:space="0" w:color="auto"/>
        <w:left w:val="none" w:sz="0" w:space="0" w:color="auto"/>
        <w:bottom w:val="none" w:sz="0" w:space="0" w:color="auto"/>
        <w:right w:val="none" w:sz="0" w:space="0" w:color="auto"/>
      </w:divBdr>
    </w:div>
    <w:div w:id="331378338">
      <w:bodyDiv w:val="1"/>
      <w:marLeft w:val="0"/>
      <w:marRight w:val="0"/>
      <w:marTop w:val="0"/>
      <w:marBottom w:val="0"/>
      <w:divBdr>
        <w:top w:val="none" w:sz="0" w:space="0" w:color="auto"/>
        <w:left w:val="none" w:sz="0" w:space="0" w:color="auto"/>
        <w:bottom w:val="none" w:sz="0" w:space="0" w:color="auto"/>
        <w:right w:val="none" w:sz="0" w:space="0" w:color="auto"/>
      </w:divBdr>
    </w:div>
    <w:div w:id="384183798">
      <w:bodyDiv w:val="1"/>
      <w:marLeft w:val="0"/>
      <w:marRight w:val="0"/>
      <w:marTop w:val="0"/>
      <w:marBottom w:val="0"/>
      <w:divBdr>
        <w:top w:val="none" w:sz="0" w:space="0" w:color="auto"/>
        <w:left w:val="none" w:sz="0" w:space="0" w:color="auto"/>
        <w:bottom w:val="none" w:sz="0" w:space="0" w:color="auto"/>
        <w:right w:val="none" w:sz="0" w:space="0" w:color="auto"/>
      </w:divBdr>
    </w:div>
    <w:div w:id="403531639">
      <w:bodyDiv w:val="1"/>
      <w:marLeft w:val="0"/>
      <w:marRight w:val="0"/>
      <w:marTop w:val="0"/>
      <w:marBottom w:val="0"/>
      <w:divBdr>
        <w:top w:val="none" w:sz="0" w:space="0" w:color="auto"/>
        <w:left w:val="none" w:sz="0" w:space="0" w:color="auto"/>
        <w:bottom w:val="none" w:sz="0" w:space="0" w:color="auto"/>
        <w:right w:val="none" w:sz="0" w:space="0" w:color="auto"/>
      </w:divBdr>
    </w:div>
    <w:div w:id="442192933">
      <w:bodyDiv w:val="1"/>
      <w:marLeft w:val="0"/>
      <w:marRight w:val="0"/>
      <w:marTop w:val="0"/>
      <w:marBottom w:val="0"/>
      <w:divBdr>
        <w:top w:val="none" w:sz="0" w:space="0" w:color="auto"/>
        <w:left w:val="none" w:sz="0" w:space="0" w:color="auto"/>
        <w:bottom w:val="none" w:sz="0" w:space="0" w:color="auto"/>
        <w:right w:val="none" w:sz="0" w:space="0" w:color="auto"/>
      </w:divBdr>
    </w:div>
    <w:div w:id="509300160">
      <w:bodyDiv w:val="1"/>
      <w:marLeft w:val="0"/>
      <w:marRight w:val="0"/>
      <w:marTop w:val="0"/>
      <w:marBottom w:val="0"/>
      <w:divBdr>
        <w:top w:val="none" w:sz="0" w:space="0" w:color="auto"/>
        <w:left w:val="none" w:sz="0" w:space="0" w:color="auto"/>
        <w:bottom w:val="none" w:sz="0" w:space="0" w:color="auto"/>
        <w:right w:val="none" w:sz="0" w:space="0" w:color="auto"/>
      </w:divBdr>
    </w:div>
    <w:div w:id="554467278">
      <w:bodyDiv w:val="1"/>
      <w:marLeft w:val="0"/>
      <w:marRight w:val="0"/>
      <w:marTop w:val="0"/>
      <w:marBottom w:val="0"/>
      <w:divBdr>
        <w:top w:val="none" w:sz="0" w:space="0" w:color="auto"/>
        <w:left w:val="none" w:sz="0" w:space="0" w:color="auto"/>
        <w:bottom w:val="none" w:sz="0" w:space="0" w:color="auto"/>
        <w:right w:val="none" w:sz="0" w:space="0" w:color="auto"/>
      </w:divBdr>
    </w:div>
    <w:div w:id="629018398">
      <w:bodyDiv w:val="1"/>
      <w:marLeft w:val="0"/>
      <w:marRight w:val="0"/>
      <w:marTop w:val="0"/>
      <w:marBottom w:val="0"/>
      <w:divBdr>
        <w:top w:val="none" w:sz="0" w:space="0" w:color="auto"/>
        <w:left w:val="none" w:sz="0" w:space="0" w:color="auto"/>
        <w:bottom w:val="none" w:sz="0" w:space="0" w:color="auto"/>
        <w:right w:val="none" w:sz="0" w:space="0" w:color="auto"/>
      </w:divBdr>
    </w:div>
    <w:div w:id="675884904">
      <w:bodyDiv w:val="1"/>
      <w:marLeft w:val="0"/>
      <w:marRight w:val="0"/>
      <w:marTop w:val="0"/>
      <w:marBottom w:val="0"/>
      <w:divBdr>
        <w:top w:val="none" w:sz="0" w:space="0" w:color="auto"/>
        <w:left w:val="none" w:sz="0" w:space="0" w:color="auto"/>
        <w:bottom w:val="none" w:sz="0" w:space="0" w:color="auto"/>
        <w:right w:val="none" w:sz="0" w:space="0" w:color="auto"/>
      </w:divBdr>
    </w:div>
    <w:div w:id="691801099">
      <w:bodyDiv w:val="1"/>
      <w:marLeft w:val="0"/>
      <w:marRight w:val="0"/>
      <w:marTop w:val="0"/>
      <w:marBottom w:val="0"/>
      <w:divBdr>
        <w:top w:val="none" w:sz="0" w:space="0" w:color="auto"/>
        <w:left w:val="none" w:sz="0" w:space="0" w:color="auto"/>
        <w:bottom w:val="none" w:sz="0" w:space="0" w:color="auto"/>
        <w:right w:val="none" w:sz="0" w:space="0" w:color="auto"/>
      </w:divBdr>
    </w:div>
    <w:div w:id="727998789">
      <w:bodyDiv w:val="1"/>
      <w:marLeft w:val="0"/>
      <w:marRight w:val="0"/>
      <w:marTop w:val="0"/>
      <w:marBottom w:val="0"/>
      <w:divBdr>
        <w:top w:val="none" w:sz="0" w:space="0" w:color="auto"/>
        <w:left w:val="none" w:sz="0" w:space="0" w:color="auto"/>
        <w:bottom w:val="none" w:sz="0" w:space="0" w:color="auto"/>
        <w:right w:val="none" w:sz="0" w:space="0" w:color="auto"/>
      </w:divBdr>
    </w:div>
    <w:div w:id="790441426">
      <w:bodyDiv w:val="1"/>
      <w:marLeft w:val="0"/>
      <w:marRight w:val="0"/>
      <w:marTop w:val="0"/>
      <w:marBottom w:val="0"/>
      <w:divBdr>
        <w:top w:val="none" w:sz="0" w:space="0" w:color="auto"/>
        <w:left w:val="none" w:sz="0" w:space="0" w:color="auto"/>
        <w:bottom w:val="none" w:sz="0" w:space="0" w:color="auto"/>
        <w:right w:val="none" w:sz="0" w:space="0" w:color="auto"/>
      </w:divBdr>
    </w:div>
    <w:div w:id="794101397">
      <w:bodyDiv w:val="1"/>
      <w:marLeft w:val="0"/>
      <w:marRight w:val="0"/>
      <w:marTop w:val="0"/>
      <w:marBottom w:val="0"/>
      <w:divBdr>
        <w:top w:val="none" w:sz="0" w:space="0" w:color="auto"/>
        <w:left w:val="none" w:sz="0" w:space="0" w:color="auto"/>
        <w:bottom w:val="none" w:sz="0" w:space="0" w:color="auto"/>
        <w:right w:val="none" w:sz="0" w:space="0" w:color="auto"/>
      </w:divBdr>
    </w:div>
    <w:div w:id="1195656109">
      <w:bodyDiv w:val="1"/>
      <w:marLeft w:val="0"/>
      <w:marRight w:val="0"/>
      <w:marTop w:val="0"/>
      <w:marBottom w:val="0"/>
      <w:divBdr>
        <w:top w:val="none" w:sz="0" w:space="0" w:color="auto"/>
        <w:left w:val="none" w:sz="0" w:space="0" w:color="auto"/>
        <w:bottom w:val="none" w:sz="0" w:space="0" w:color="auto"/>
        <w:right w:val="none" w:sz="0" w:space="0" w:color="auto"/>
      </w:divBdr>
    </w:div>
    <w:div w:id="1268736840">
      <w:bodyDiv w:val="1"/>
      <w:marLeft w:val="0"/>
      <w:marRight w:val="0"/>
      <w:marTop w:val="0"/>
      <w:marBottom w:val="0"/>
      <w:divBdr>
        <w:top w:val="none" w:sz="0" w:space="0" w:color="auto"/>
        <w:left w:val="none" w:sz="0" w:space="0" w:color="auto"/>
        <w:bottom w:val="none" w:sz="0" w:space="0" w:color="auto"/>
        <w:right w:val="none" w:sz="0" w:space="0" w:color="auto"/>
      </w:divBdr>
    </w:div>
    <w:div w:id="1308825970">
      <w:bodyDiv w:val="1"/>
      <w:marLeft w:val="0"/>
      <w:marRight w:val="0"/>
      <w:marTop w:val="0"/>
      <w:marBottom w:val="0"/>
      <w:divBdr>
        <w:top w:val="none" w:sz="0" w:space="0" w:color="auto"/>
        <w:left w:val="none" w:sz="0" w:space="0" w:color="auto"/>
        <w:bottom w:val="none" w:sz="0" w:space="0" w:color="auto"/>
        <w:right w:val="none" w:sz="0" w:space="0" w:color="auto"/>
      </w:divBdr>
    </w:div>
    <w:div w:id="1318145628">
      <w:bodyDiv w:val="1"/>
      <w:marLeft w:val="0"/>
      <w:marRight w:val="0"/>
      <w:marTop w:val="0"/>
      <w:marBottom w:val="0"/>
      <w:divBdr>
        <w:top w:val="none" w:sz="0" w:space="0" w:color="auto"/>
        <w:left w:val="none" w:sz="0" w:space="0" w:color="auto"/>
        <w:bottom w:val="none" w:sz="0" w:space="0" w:color="auto"/>
        <w:right w:val="none" w:sz="0" w:space="0" w:color="auto"/>
      </w:divBdr>
    </w:div>
    <w:div w:id="1474904982">
      <w:bodyDiv w:val="1"/>
      <w:marLeft w:val="0"/>
      <w:marRight w:val="0"/>
      <w:marTop w:val="0"/>
      <w:marBottom w:val="0"/>
      <w:divBdr>
        <w:top w:val="none" w:sz="0" w:space="0" w:color="auto"/>
        <w:left w:val="none" w:sz="0" w:space="0" w:color="auto"/>
        <w:bottom w:val="none" w:sz="0" w:space="0" w:color="auto"/>
        <w:right w:val="none" w:sz="0" w:space="0" w:color="auto"/>
      </w:divBdr>
    </w:div>
    <w:div w:id="1600214171">
      <w:bodyDiv w:val="1"/>
      <w:marLeft w:val="0"/>
      <w:marRight w:val="0"/>
      <w:marTop w:val="0"/>
      <w:marBottom w:val="0"/>
      <w:divBdr>
        <w:top w:val="none" w:sz="0" w:space="0" w:color="auto"/>
        <w:left w:val="none" w:sz="0" w:space="0" w:color="auto"/>
        <w:bottom w:val="none" w:sz="0" w:space="0" w:color="auto"/>
        <w:right w:val="none" w:sz="0" w:space="0" w:color="auto"/>
      </w:divBdr>
    </w:div>
    <w:div w:id="1620139133">
      <w:bodyDiv w:val="1"/>
      <w:marLeft w:val="0"/>
      <w:marRight w:val="0"/>
      <w:marTop w:val="0"/>
      <w:marBottom w:val="0"/>
      <w:divBdr>
        <w:top w:val="none" w:sz="0" w:space="0" w:color="auto"/>
        <w:left w:val="none" w:sz="0" w:space="0" w:color="auto"/>
        <w:bottom w:val="none" w:sz="0" w:space="0" w:color="auto"/>
        <w:right w:val="none" w:sz="0" w:space="0" w:color="auto"/>
      </w:divBdr>
    </w:div>
    <w:div w:id="1653214662">
      <w:bodyDiv w:val="1"/>
      <w:marLeft w:val="0"/>
      <w:marRight w:val="0"/>
      <w:marTop w:val="0"/>
      <w:marBottom w:val="0"/>
      <w:divBdr>
        <w:top w:val="none" w:sz="0" w:space="0" w:color="auto"/>
        <w:left w:val="none" w:sz="0" w:space="0" w:color="auto"/>
        <w:bottom w:val="none" w:sz="0" w:space="0" w:color="auto"/>
        <w:right w:val="none" w:sz="0" w:space="0" w:color="auto"/>
      </w:divBdr>
    </w:div>
    <w:div w:id="1674260091">
      <w:bodyDiv w:val="1"/>
      <w:marLeft w:val="0"/>
      <w:marRight w:val="0"/>
      <w:marTop w:val="0"/>
      <w:marBottom w:val="0"/>
      <w:divBdr>
        <w:top w:val="none" w:sz="0" w:space="0" w:color="auto"/>
        <w:left w:val="none" w:sz="0" w:space="0" w:color="auto"/>
        <w:bottom w:val="none" w:sz="0" w:space="0" w:color="auto"/>
        <w:right w:val="none" w:sz="0" w:space="0" w:color="auto"/>
      </w:divBdr>
    </w:div>
    <w:div w:id="1723484209">
      <w:bodyDiv w:val="1"/>
      <w:marLeft w:val="0"/>
      <w:marRight w:val="0"/>
      <w:marTop w:val="0"/>
      <w:marBottom w:val="0"/>
      <w:divBdr>
        <w:top w:val="none" w:sz="0" w:space="0" w:color="auto"/>
        <w:left w:val="none" w:sz="0" w:space="0" w:color="auto"/>
        <w:bottom w:val="none" w:sz="0" w:space="0" w:color="auto"/>
        <w:right w:val="none" w:sz="0" w:space="0" w:color="auto"/>
      </w:divBdr>
    </w:div>
    <w:div w:id="2037345372">
      <w:bodyDiv w:val="1"/>
      <w:marLeft w:val="0"/>
      <w:marRight w:val="0"/>
      <w:marTop w:val="0"/>
      <w:marBottom w:val="0"/>
      <w:divBdr>
        <w:top w:val="none" w:sz="0" w:space="0" w:color="auto"/>
        <w:left w:val="none" w:sz="0" w:space="0" w:color="auto"/>
        <w:bottom w:val="none" w:sz="0" w:space="0" w:color="auto"/>
        <w:right w:val="none" w:sz="0" w:space="0" w:color="auto"/>
      </w:divBdr>
    </w:div>
    <w:div w:id="2047681578">
      <w:bodyDiv w:val="1"/>
      <w:marLeft w:val="0"/>
      <w:marRight w:val="0"/>
      <w:marTop w:val="0"/>
      <w:marBottom w:val="0"/>
      <w:divBdr>
        <w:top w:val="none" w:sz="0" w:space="0" w:color="auto"/>
        <w:left w:val="none" w:sz="0" w:space="0" w:color="auto"/>
        <w:bottom w:val="none" w:sz="0" w:space="0" w:color="auto"/>
        <w:right w:val="none" w:sz="0" w:space="0" w:color="auto"/>
      </w:divBdr>
    </w:div>
    <w:div w:id="2090810986">
      <w:bodyDiv w:val="1"/>
      <w:marLeft w:val="0"/>
      <w:marRight w:val="0"/>
      <w:marTop w:val="0"/>
      <w:marBottom w:val="0"/>
      <w:divBdr>
        <w:top w:val="none" w:sz="0" w:space="0" w:color="auto"/>
        <w:left w:val="none" w:sz="0" w:space="0" w:color="auto"/>
        <w:bottom w:val="none" w:sz="0" w:space="0" w:color="auto"/>
        <w:right w:val="none" w:sz="0" w:space="0" w:color="auto"/>
      </w:divBdr>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projects-and-evaluation/projects/nuffield-early-language-interventio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metacognition-and-self-regulation" TargetMode="External"/><Relationship Id="rId17" Type="http://schemas.openxmlformats.org/officeDocument/2006/relationships/hyperlink" Target="https://www.gov.uk/government/publications/promoting-children-and-young-peoples-emotional-health-and-wellbeing"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tools/assessing-and-monitoring-pupil-progress/testing/standardised-tests/" TargetMode="Externa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phonics/" TargetMode="External"/><Relationship Id="rId10" Type="http://schemas.openxmlformats.org/officeDocument/2006/relationships/hyperlink" Target="https://educationendowmentfoundation.org.uk/public/files/Publications/SEL/EEF_Social_and_Emotional_Learning.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projects-and-evaluation/projects/nuffield-early-language-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FC7AE-EB06-4671-AB90-A7BC878F5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2654</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St John's Sevenoaks Headteacher</cp:lastModifiedBy>
  <cp:revision>2</cp:revision>
  <cp:lastPrinted>2023-04-24T18:49:00Z</cp:lastPrinted>
  <dcterms:created xsi:type="dcterms:W3CDTF">2024-01-16T08:30:00Z</dcterms:created>
  <dcterms:modified xsi:type="dcterms:W3CDTF">2024-01-16T08:30:00Z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