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3Policytitle"/>
        <w:jc w:val="center"/>
        <w:rPr/>
      </w:pPr>
      <w:r>
        <w:rPr>
          <w:rFonts w:cs="Century Gothic" w:ascii="Century Gothic" w:hAnsi="Century Gothic"/>
          <w:b w:val="false"/>
          <w:sz w:val="56"/>
          <w:szCs w:val="56"/>
        </w:rPr>
        <w:t>Relationships and Sex Education Policy</w:t>
      </w:r>
    </w:p>
    <w:p>
      <w:pPr>
        <w:pStyle w:val="3Policytitle"/>
        <w:jc w:val="center"/>
        <w:rPr>
          <w:rFonts w:ascii="Century Gothic" w:hAnsi="Century Gothic" w:cs="Century Gothic"/>
          <w:b w:val="false"/>
          <w:sz w:val="40"/>
          <w:szCs w:val="40"/>
        </w:rPr>
      </w:pPr>
      <w:r>
        <w:rPr>
          <w:rFonts w:cs="Century Gothic" w:ascii="Century Gothic" w:hAnsi="Century Gothic"/>
          <w:b w:val="false"/>
          <w:sz w:val="40"/>
          <w:szCs w:val="40"/>
        </w:rPr>
        <w:t>September 2026</w:t>
      </w:r>
    </w:p>
    <w:p>
      <w:pPr>
        <w:pStyle w:val="3Policytitle"/>
        <w:jc w:val="center"/>
        <w:rPr>
          <w:rFonts w:ascii="Century Gothic" w:hAnsi="Century Gothic" w:cs="Century Gothic"/>
          <w:b w:val="false"/>
          <w:sz w:val="40"/>
          <w:szCs w:val="40"/>
        </w:rPr>
      </w:pPr>
      <w:r>
        <w:rPr>
          <w:rFonts w:cs="Century Gothic" w:ascii="Century Gothic" w:hAnsi="Century Gothic"/>
          <w:b w:val="false"/>
          <w:sz w:val="40"/>
          <w:szCs w:val="40"/>
        </w:rPr>
      </w:r>
    </w:p>
    <w:p>
      <w:pPr>
        <w:pStyle w:val="3Policytitle"/>
        <w:rPr/>
      </w:pPr>
      <w:r>
        <w:rPr/>
      </w:r>
    </w:p>
    <w:p>
      <w:pPr>
        <w:pStyle w:val="3Policytitle"/>
        <w:rPr>
          <w:sz w:val="24"/>
        </w:rPr>
      </w:pPr>
      <w:r>
        <w:rPr>
          <w:sz w:val="24"/>
        </w:rPr>
      </w:r>
    </w:p>
    <w:p>
      <w:pPr>
        <w:pStyle w:val="3Policytitle"/>
        <w:rPr>
          <w:sz w:val="24"/>
        </w:rPr>
      </w:pPr>
      <w:r>
        <w:rPr>
          <w:sz w:val="24"/>
        </w:rPr>
      </w:r>
    </w:p>
    <w:p>
      <w:pPr>
        <w:pStyle w:val="3Policytitle"/>
        <w:rPr>
          <w:sz w:val="24"/>
        </w:rPr>
      </w:pPr>
      <w:r>
        <w:rPr>
          <w:sz w:val="24"/>
        </w:rPr>
      </w:r>
    </w:p>
    <w:p>
      <w:pPr>
        <w:pStyle w:val="3Policytitle"/>
        <w:rPr>
          <w:sz w:val="24"/>
        </w:rPr>
      </w:pPr>
      <w:r>
        <w:rPr>
          <w:sz w:val="24"/>
        </w:rPr>
      </w:r>
    </w:p>
    <w:tbl>
      <w:tblPr>
        <w:tblW w:w="8851" w:type="dxa"/>
        <w:jc w:val="left"/>
        <w:tblInd w:w="3286" w:type="dxa"/>
        <w:tblLayout w:type="fixed"/>
        <w:tblCellMar>
          <w:top w:w="0" w:type="dxa"/>
          <w:left w:w="108" w:type="dxa"/>
          <w:bottom w:w="0" w:type="dxa"/>
          <w:right w:w="108" w:type="dxa"/>
        </w:tblCellMar>
      </w:tblPr>
      <w:tblGrid>
        <w:gridCol w:w="4372"/>
        <w:gridCol w:w="4479"/>
      </w:tblGrid>
      <w:tr>
        <w:trPr/>
        <w:tc>
          <w:tcPr>
            <w:tcW w:w="8851" w:type="dxa"/>
            <w:gridSpan w:val="2"/>
            <w:tcBorders>
              <w:top w:val="single" w:sz="12" w:space="0" w:color="000000"/>
              <w:bottom w:val="single" w:sz="4" w:space="0" w:color="000000"/>
            </w:tcBorders>
          </w:tcPr>
          <w:p>
            <w:pPr>
              <w:pStyle w:val="Normal"/>
              <w:spacing w:before="120" w:after="0"/>
              <w:rPr>
                <w:rFonts w:ascii="Calibri" w:hAnsi="Calibri" w:eastAsia="Times New Roman" w:cs="Calibri"/>
                <w:szCs w:val="20"/>
                <w:lang w:val="en-GB" w:eastAsia="en-GB"/>
              </w:rPr>
            </w:pPr>
            <w:r>
              <w:rPr>
                <w:rFonts w:eastAsia="Times New Roman" w:cs="Calibri" w:ascii="Calibri" w:hAnsi="Calibri"/>
                <w:szCs w:val="20"/>
                <w:lang w:val="en-GB" w:eastAsia="en-GB"/>
              </w:rPr>
              <w:t>St John’s C of E (Controlled) School</w:t>
            </w:r>
          </w:p>
          <w:p>
            <w:pPr>
              <w:pStyle w:val="Normal"/>
              <w:spacing w:before="0" w:after="0"/>
              <w:rPr>
                <w:rFonts w:ascii="Calibri" w:hAnsi="Calibri" w:eastAsia="Times New Roman" w:cs="Calibri"/>
                <w:szCs w:val="20"/>
                <w:lang w:val="en-GB" w:eastAsia="en-GB"/>
              </w:rPr>
            </w:pPr>
            <w:r>
              <w:rPr>
                <w:rFonts w:eastAsia="Times New Roman" w:cs="Calibri" w:ascii="Calibri" w:hAnsi="Calibri"/>
                <w:szCs w:val="20"/>
                <w:lang w:val="en-GB" w:eastAsia="en-GB"/>
              </w:rPr>
            </w:r>
          </w:p>
          <w:p>
            <w:pPr>
              <w:pStyle w:val="Normal"/>
              <w:spacing w:before="0" w:after="0"/>
              <w:rPr>
                <w:rFonts w:ascii="Calibri" w:hAnsi="Calibri" w:eastAsia="Times New Roman" w:cs="Calibri"/>
                <w:b/>
                <w:sz w:val="24"/>
                <w:lang w:val="en-GB" w:eastAsia="en-GB"/>
              </w:rPr>
            </w:pPr>
            <w:r>
              <w:rPr>
                <w:rFonts w:eastAsia="Times New Roman" w:cs="Calibri" w:ascii="Calibri" w:hAnsi="Calibri"/>
                <w:b/>
                <w:sz w:val="24"/>
                <w:lang w:val="en-GB" w:eastAsia="en-GB"/>
              </w:rPr>
              <w:t>RELATIONSHIPS AND SEX EDUCATION POLICY</w:t>
            </w:r>
          </w:p>
          <w:p>
            <w:pPr>
              <w:pStyle w:val="Normal"/>
              <w:keepNext w:val="true"/>
              <w:numPr>
                <w:ilvl w:val="0"/>
                <w:numId w:val="0"/>
              </w:numPr>
              <w:spacing w:before="0" w:after="0"/>
              <w:outlineLvl w:val="0"/>
              <w:rPr>
                <w:rFonts w:ascii="Calibri" w:hAnsi="Calibri" w:eastAsia="Times New Roman" w:cs="Arial"/>
                <w:b/>
                <w:bCs/>
                <w:sz w:val="24"/>
                <w:szCs w:val="20"/>
                <w:lang w:val="en-GB" w:eastAsia="en-GB"/>
              </w:rPr>
            </w:pPr>
            <w:r>
              <w:rPr>
                <w:rFonts w:eastAsia="Times New Roman" w:cs="Arial" w:ascii="Calibri" w:hAnsi="Calibri"/>
                <w:b/>
                <w:bCs/>
                <w:sz w:val="24"/>
                <w:szCs w:val="20"/>
                <w:lang w:val="en-GB" w:eastAsia="en-GB"/>
              </w:rPr>
            </w:r>
          </w:p>
        </w:tc>
      </w:tr>
      <w:tr>
        <w:trPr/>
        <w:tc>
          <w:tcPr>
            <w:tcW w:w="4372" w:type="dxa"/>
            <w:tcBorders>
              <w:top w:val="single" w:sz="4" w:space="0" w:color="000000"/>
              <w:bottom w:val="single" w:sz="4" w:space="0" w:color="000000"/>
              <w:right w:val="single" w:sz="4" w:space="0" w:color="000000"/>
            </w:tcBorders>
          </w:tcPr>
          <w:p>
            <w:pPr>
              <w:pStyle w:val="Normal"/>
              <w:keepNext w:val="true"/>
              <w:numPr>
                <w:ilvl w:val="0"/>
                <w:numId w:val="0"/>
              </w:numPr>
              <w:snapToGrid w:val="false"/>
              <w:spacing w:before="0" w:after="0"/>
              <w:outlineLvl w:val="0"/>
              <w:rPr>
                <w:rFonts w:ascii="Calibri" w:hAnsi="Calibri" w:eastAsia="Times New Roman" w:cs="Arial"/>
                <w:b/>
                <w:bCs/>
                <w:sz w:val="24"/>
                <w:szCs w:val="20"/>
                <w:lang w:val="en-GB" w:eastAsia="en-GB"/>
              </w:rPr>
            </w:pPr>
            <w:r>
              <w:rPr>
                <w:rFonts w:eastAsia="Times New Roman" w:cs="Arial" w:ascii="Calibri" w:hAnsi="Calibri"/>
                <w:b/>
                <w:bCs/>
                <w:sz w:val="24"/>
                <w:szCs w:val="20"/>
                <w:lang w:val="en-GB" w:eastAsia="en-GB"/>
              </w:rPr>
            </w:r>
          </w:p>
          <w:p>
            <w:pPr>
              <w:pStyle w:val="Normal"/>
              <w:keepNext w:val="true"/>
              <w:numPr>
                <w:ilvl w:val="0"/>
                <w:numId w:val="0"/>
              </w:numPr>
              <w:spacing w:before="0" w:after="0"/>
              <w:outlineLvl w:val="0"/>
              <w:rPr>
                <w:rFonts w:ascii="Calibri" w:hAnsi="Calibri" w:eastAsia="Times New Roman" w:cs="Arial"/>
                <w:bCs/>
                <w:szCs w:val="20"/>
                <w:lang w:val="en-GB" w:eastAsia="en-GB"/>
              </w:rPr>
            </w:pPr>
            <w:r>
              <w:rPr>
                <w:rFonts w:eastAsia="Times New Roman" w:cs="Arial" w:ascii="Calibri" w:hAnsi="Calibri"/>
                <w:bCs/>
                <w:szCs w:val="20"/>
                <w:lang w:val="en-GB" w:eastAsia="en-GB"/>
              </w:rPr>
              <w:t>Statutory Policy required by education legislation</w:t>
            </w:r>
          </w:p>
        </w:tc>
        <w:tc>
          <w:tcPr>
            <w:tcW w:w="4479" w:type="dxa"/>
            <w:tcBorders>
              <w:top w:val="single" w:sz="4" w:space="0" w:color="000000"/>
              <w:left w:val="single" w:sz="4" w:space="0" w:color="000000"/>
              <w:bottom w:val="single" w:sz="4" w:space="0" w:color="000000"/>
            </w:tcBorders>
          </w:tcPr>
          <w:p>
            <w:pPr>
              <w:pStyle w:val="Normal"/>
              <w:keepNext w:val="true"/>
              <w:numPr>
                <w:ilvl w:val="0"/>
                <w:numId w:val="0"/>
              </w:numPr>
              <w:snapToGrid w:val="false"/>
              <w:spacing w:before="0" w:after="0"/>
              <w:outlineLvl w:val="0"/>
              <w:rPr>
                <w:rFonts w:ascii="Calibri" w:hAnsi="Calibri" w:eastAsia="Times New Roman" w:cs="Arial"/>
                <w:bCs/>
                <w:szCs w:val="20"/>
                <w:lang w:val="en-GB" w:eastAsia="en-GB"/>
              </w:rPr>
            </w:pPr>
            <w:r>
              <w:rPr>
                <w:rFonts w:eastAsia="Times New Roman" w:cs="Arial" w:ascii="Calibri" w:hAnsi="Calibri"/>
                <w:bCs/>
                <w:szCs w:val="20"/>
                <w:lang w:val="en-GB" w:eastAsia="en-GB"/>
              </w:rPr>
            </w:r>
          </w:p>
          <w:p>
            <w:pPr>
              <w:pStyle w:val="Normal"/>
              <w:keepNext w:val="true"/>
              <w:numPr>
                <w:ilvl w:val="0"/>
                <w:numId w:val="0"/>
              </w:numPr>
              <w:spacing w:before="0" w:after="0"/>
              <w:outlineLvl w:val="0"/>
              <w:rPr>
                <w:rFonts w:ascii="Calibri" w:hAnsi="Calibri" w:eastAsia="Times New Roman" w:cs="Arial"/>
                <w:b/>
                <w:bCs/>
                <w:szCs w:val="20"/>
                <w:lang w:val="en-GB" w:eastAsia="en-GB"/>
              </w:rPr>
            </w:pPr>
            <w:r>
              <w:rPr>
                <w:rFonts w:eastAsia="Times New Roman" w:cs="Arial" w:ascii="Calibri" w:hAnsi="Calibri"/>
                <w:bCs/>
                <w:szCs w:val="20"/>
                <w:lang w:val="en-GB" w:eastAsia="en-GB"/>
              </w:rPr>
              <w:t xml:space="preserve">Review frequency </w:t>
            </w:r>
            <w:r>
              <w:rPr>
                <w:rFonts w:eastAsia="Times New Roman" w:cs="Arial" w:ascii="Calibri" w:hAnsi="Calibri"/>
                <w:b/>
                <w:bCs/>
                <w:szCs w:val="20"/>
                <w:lang w:val="en-GB" w:eastAsia="en-GB"/>
              </w:rPr>
              <w:t>ANNUALLY</w:t>
            </w:r>
          </w:p>
        </w:tc>
      </w:tr>
      <w:tr>
        <w:trPr/>
        <w:tc>
          <w:tcPr>
            <w:tcW w:w="4372" w:type="dxa"/>
            <w:tcBorders>
              <w:top w:val="single" w:sz="4" w:space="0" w:color="000000"/>
              <w:bottom w:val="single" w:sz="4" w:space="0" w:color="000000"/>
              <w:right w:val="single" w:sz="4" w:space="0" w:color="000000"/>
            </w:tcBorders>
          </w:tcPr>
          <w:p>
            <w:pPr>
              <w:pStyle w:val="Normal"/>
              <w:keepNext w:val="true"/>
              <w:numPr>
                <w:ilvl w:val="0"/>
                <w:numId w:val="0"/>
              </w:numPr>
              <w:snapToGrid w:val="false"/>
              <w:spacing w:before="0" w:after="0"/>
              <w:outlineLvl w:val="0"/>
              <w:rPr>
                <w:rFonts w:ascii="Calibri" w:hAnsi="Calibri" w:eastAsia="Times New Roman" w:cs="Arial"/>
                <w:b/>
                <w:bCs/>
                <w:sz w:val="24"/>
                <w:szCs w:val="20"/>
                <w:lang w:val="en-GB" w:eastAsia="en-GB"/>
              </w:rPr>
            </w:pPr>
            <w:r>
              <w:rPr>
                <w:rFonts w:eastAsia="Times New Roman" w:cs="Arial" w:ascii="Calibri" w:hAnsi="Calibri"/>
                <w:b/>
                <w:bCs/>
                <w:sz w:val="24"/>
                <w:szCs w:val="20"/>
                <w:lang w:val="en-GB" w:eastAsia="en-GB"/>
              </w:rPr>
            </w:r>
          </w:p>
          <w:p>
            <w:pPr>
              <w:pStyle w:val="Normal"/>
              <w:keepNext w:val="true"/>
              <w:numPr>
                <w:ilvl w:val="0"/>
                <w:numId w:val="0"/>
              </w:numPr>
              <w:spacing w:before="0" w:after="0"/>
              <w:outlineLvl w:val="0"/>
              <w:rPr>
                <w:rFonts w:ascii="Calibri" w:hAnsi="Calibri" w:eastAsia="Times New Roman" w:cs="Arial"/>
                <w:bCs/>
                <w:szCs w:val="20"/>
                <w:lang w:val="en-GB" w:eastAsia="en-GB"/>
              </w:rPr>
            </w:pPr>
            <w:r>
              <w:rPr>
                <w:rFonts w:eastAsia="Times New Roman" w:cs="Arial" w:ascii="Calibri" w:hAnsi="Calibri"/>
                <w:bCs/>
                <w:szCs w:val="20"/>
                <w:lang w:val="en-GB" w:eastAsia="en-GB"/>
              </w:rPr>
              <w:t xml:space="preserve">Review Date </w:t>
            </w:r>
            <w:r>
              <w:rPr>
                <w:rFonts w:eastAsia="Times New Roman" w:cs="Arial" w:ascii="Calibri" w:hAnsi="Calibri"/>
                <w:b/>
                <w:bCs/>
                <w:szCs w:val="20"/>
                <w:lang w:val="en-GB" w:eastAsia="en-GB"/>
              </w:rPr>
              <w:t>– September 2026</w:t>
            </w:r>
          </w:p>
        </w:tc>
        <w:tc>
          <w:tcPr>
            <w:tcW w:w="4479" w:type="dxa"/>
            <w:tcBorders>
              <w:top w:val="single" w:sz="4" w:space="0" w:color="000000"/>
              <w:left w:val="single" w:sz="4" w:space="0" w:color="000000"/>
              <w:bottom w:val="single" w:sz="4" w:space="0" w:color="000000"/>
            </w:tcBorders>
          </w:tcPr>
          <w:p>
            <w:pPr>
              <w:pStyle w:val="Normal"/>
              <w:keepNext w:val="true"/>
              <w:numPr>
                <w:ilvl w:val="0"/>
                <w:numId w:val="0"/>
              </w:numPr>
              <w:snapToGrid w:val="false"/>
              <w:spacing w:before="0" w:after="0"/>
              <w:outlineLvl w:val="0"/>
              <w:rPr>
                <w:rFonts w:ascii="Calibri" w:hAnsi="Calibri" w:eastAsia="Times New Roman" w:cs="Arial"/>
                <w:bCs/>
                <w:szCs w:val="20"/>
                <w:lang w:val="en-GB" w:eastAsia="en-GB"/>
              </w:rPr>
            </w:pPr>
            <w:r>
              <w:rPr>
                <w:rFonts w:eastAsia="Times New Roman" w:cs="Arial" w:ascii="Calibri" w:hAnsi="Calibri"/>
                <w:bCs/>
                <w:szCs w:val="20"/>
                <w:lang w:val="en-GB" w:eastAsia="en-GB"/>
              </w:rPr>
            </w:r>
          </w:p>
          <w:p>
            <w:pPr>
              <w:pStyle w:val="Normal"/>
              <w:keepNext w:val="true"/>
              <w:numPr>
                <w:ilvl w:val="0"/>
                <w:numId w:val="0"/>
              </w:numPr>
              <w:spacing w:before="0" w:after="0"/>
              <w:outlineLvl w:val="0"/>
              <w:rPr>
                <w:rFonts w:ascii="Calibri" w:hAnsi="Calibri" w:eastAsia="Times New Roman" w:cs="Arial"/>
                <w:b/>
                <w:bCs/>
                <w:szCs w:val="20"/>
                <w:lang w:val="en-GB" w:eastAsia="en-GB"/>
              </w:rPr>
            </w:pPr>
            <w:r>
              <w:rPr>
                <w:rFonts w:eastAsia="Times New Roman" w:cs="Arial" w:ascii="Calibri" w:hAnsi="Calibri"/>
                <w:bCs/>
                <w:szCs w:val="20"/>
                <w:lang w:val="en-GB" w:eastAsia="en-GB"/>
              </w:rPr>
              <w:t>Next Review Date – September</w:t>
            </w:r>
            <w:r>
              <w:rPr>
                <w:rFonts w:eastAsia="Times New Roman" w:cs="Arial" w:ascii="Calibri" w:hAnsi="Calibri"/>
                <w:b/>
                <w:bCs/>
                <w:szCs w:val="20"/>
                <w:lang w:val="en-GB" w:eastAsia="en-GB"/>
              </w:rPr>
              <w:t xml:space="preserve"> 2027</w:t>
            </w:r>
          </w:p>
        </w:tc>
      </w:tr>
      <w:tr>
        <w:trPr>
          <w:trHeight w:val="750" w:hRule="atLeast"/>
        </w:trPr>
        <w:tc>
          <w:tcPr>
            <w:tcW w:w="8851" w:type="dxa"/>
            <w:gridSpan w:val="2"/>
            <w:tcBorders>
              <w:top w:val="single" w:sz="4" w:space="0" w:color="000000"/>
              <w:bottom w:val="single" w:sz="12" w:space="0" w:color="000000"/>
            </w:tcBorders>
          </w:tcPr>
          <w:p>
            <w:pPr>
              <w:pStyle w:val="Normal"/>
              <w:keepNext w:val="true"/>
              <w:numPr>
                <w:ilvl w:val="0"/>
                <w:numId w:val="0"/>
              </w:numPr>
              <w:snapToGrid w:val="false"/>
              <w:spacing w:before="0" w:after="0"/>
              <w:outlineLvl w:val="0"/>
              <w:rPr>
                <w:rFonts w:ascii="Calibri" w:hAnsi="Calibri" w:eastAsia="Times New Roman" w:cs="Arial"/>
                <w:b/>
                <w:bCs/>
                <w:sz w:val="24"/>
                <w:szCs w:val="20"/>
                <w:lang w:val="en-GB" w:eastAsia="en-GB"/>
              </w:rPr>
            </w:pPr>
            <w:r>
              <w:rPr>
                <w:rFonts w:eastAsia="Times New Roman" w:cs="Arial" w:ascii="Calibri" w:hAnsi="Calibri"/>
                <w:b/>
                <w:bCs/>
                <w:sz w:val="24"/>
                <w:szCs w:val="20"/>
                <w:lang w:val="en-GB" w:eastAsia="en-GB"/>
              </w:rPr>
            </w:r>
          </w:p>
          <w:p>
            <w:pPr>
              <w:pStyle w:val="Normal"/>
              <w:spacing w:before="0" w:after="0"/>
              <w:rPr>
                <w:rFonts w:ascii="Calibri" w:hAnsi="Calibri" w:eastAsia="Times New Roman" w:cs="Calibri"/>
                <w:szCs w:val="20"/>
                <w:lang w:val="en-GB" w:eastAsia="en-GB"/>
              </w:rPr>
            </w:pPr>
            <w:r>
              <w:rPr>
                <w:rFonts w:eastAsia="Times New Roman" w:cs="Calibri" w:ascii="Calibri" w:hAnsi="Calibri"/>
                <w:szCs w:val="20"/>
                <w:lang w:val="en-GB" w:eastAsia="en-GB"/>
              </w:rPr>
              <w:t>St John’s CEP School policies are approved, ratified and reviewed regularly by the Headteacher/Senior Leadership Team and/or Governing Body in the light of statutory requirements</w:t>
            </w:r>
          </w:p>
        </w:tc>
      </w:tr>
    </w:tbl>
    <w:p>
      <w:pPr>
        <w:pStyle w:val="1bodycopy10pt"/>
        <w:rPr>
          <w:szCs w:val="20"/>
          <w:lang w:val="en-US" w:eastAsia="en-US"/>
        </w:rPr>
      </w:pPr>
      <w:r>
        <w:rPr>
          <w:szCs w:val="20"/>
          <w:lang w:val="en-US" w:eastAsia="en-US"/>
        </w:rPr>
      </w:r>
    </w:p>
    <w:p>
      <w:pPr>
        <w:pStyle w:val="1bodycopy10pt"/>
        <w:rPr>
          <w:szCs w:val="20"/>
          <w:lang w:val="en-US" w:eastAsia="en-US"/>
        </w:rPr>
      </w:pPr>
      <w:r>
        <w:rPr>
          <w:szCs w:val="20"/>
          <w:lang w:val="en-US" w:eastAsia="en-US"/>
        </w:rPr>
      </w:r>
    </w:p>
    <w:p>
      <w:pPr>
        <w:pStyle w:val="1bodycopy10pt"/>
        <w:jc w:val="center"/>
        <w:rPr>
          <w:szCs w:val="20"/>
          <w:lang w:val="en-US" w:eastAsia="en-US"/>
        </w:rPr>
      </w:pPr>
      <w:r>
        <w:rPr>
          <w:rFonts w:cs="Arial" w:ascii="Century Gothic" w:hAnsi="Century Gothic"/>
          <w:b/>
          <w:bCs/>
          <w:sz w:val="28"/>
          <w:szCs w:val="28"/>
          <w:lang w:eastAsia="en-GB"/>
        </w:rPr>
        <w:t>Vision statement</w:t>
      </w:r>
    </w:p>
    <w:p>
      <w:pPr>
        <w:pStyle w:val="Normal"/>
        <w:autoSpaceDE w:val="false"/>
        <w:rPr>
          <w:rFonts w:ascii="Calibri" w:hAnsi="Calibri" w:cs="Arial"/>
          <w:b/>
          <w:bCs/>
          <w:szCs w:val="20"/>
          <w:lang w:val="en-US" w:eastAsia="en-GB"/>
        </w:rPr>
      </w:pPr>
      <w:r>
        <w:rPr>
          <w:rFonts w:cs="Arial" w:ascii="Calibri" w:hAnsi="Calibri"/>
          <w:b/>
          <w:bCs/>
          <w:szCs w:val="20"/>
          <w:lang w:val="en-US" w:eastAsia="en-GB"/>
        </w:rPr>
      </w:r>
    </w:p>
    <w:p>
      <w:pPr>
        <w:pStyle w:val="Normal"/>
        <w:jc w:val="center"/>
        <w:rPr/>
      </w:pPr>
      <w:r>
        <w:rPr>
          <w:rFonts w:cs="Calibri" w:ascii="Calibri" w:hAnsi="Calibri"/>
          <w:i/>
          <w:sz w:val="24"/>
        </w:rPr>
        <w:t>Imagine a place where all are equal and all are different,</w:t>
      </w:r>
    </w:p>
    <w:p>
      <w:pPr>
        <w:pStyle w:val="Normal"/>
        <w:jc w:val="center"/>
        <w:rPr>
          <w:rFonts w:ascii="Calibri" w:hAnsi="Calibri" w:cs="Calibri"/>
          <w:i/>
          <w:i/>
          <w:sz w:val="24"/>
        </w:rPr>
      </w:pPr>
      <w:r>
        <w:rPr>
          <w:rFonts w:cs="Calibri" w:ascii="Calibri" w:hAnsi="Calibri"/>
          <w:i/>
          <w:sz w:val="24"/>
        </w:rPr>
        <w:t>living compassionately, learning together,</w:t>
      </w:r>
    </w:p>
    <w:p>
      <w:pPr>
        <w:pStyle w:val="Normal"/>
        <w:jc w:val="center"/>
        <w:rPr>
          <w:rFonts w:ascii="Calibri" w:hAnsi="Calibri" w:cs="Calibri"/>
          <w:i/>
          <w:i/>
          <w:sz w:val="24"/>
        </w:rPr>
      </w:pPr>
      <w:r>
        <w:rPr>
          <w:rFonts w:cs="Calibri" w:ascii="Calibri" w:hAnsi="Calibri"/>
          <w:i/>
          <w:sz w:val="24"/>
        </w:rPr>
        <w:t>embracing challenges, building tolerance and resilience,</w:t>
      </w:r>
    </w:p>
    <w:p>
      <w:pPr>
        <w:pStyle w:val="Normal"/>
        <w:jc w:val="center"/>
        <w:rPr>
          <w:rFonts w:ascii="Calibri" w:hAnsi="Calibri" w:cs="Calibri"/>
          <w:i/>
          <w:i/>
          <w:sz w:val="24"/>
        </w:rPr>
      </w:pPr>
      <w:r>
        <w:rPr>
          <w:rFonts w:cs="Calibri" w:ascii="Calibri" w:hAnsi="Calibri"/>
          <w:i/>
          <w:sz w:val="24"/>
        </w:rPr>
        <w:t>standing strong and making a positive difference in God’s amazing world.</w:t>
      </w:r>
    </w:p>
    <w:p>
      <w:pPr>
        <w:pStyle w:val="Normal"/>
        <w:jc w:val="center"/>
        <w:rPr>
          <w:rFonts w:ascii="Calibri" w:hAnsi="Calibri" w:cs="Calibri"/>
          <w:i/>
          <w:i/>
          <w:sz w:val="24"/>
        </w:rPr>
      </w:pPr>
      <w:r>
        <w:rPr>
          <w:rFonts w:cs="Calibri" w:ascii="Calibri" w:hAnsi="Calibri"/>
          <w:i/>
          <w:sz w:val="24"/>
        </w:rPr>
      </w:r>
    </w:p>
    <w:p>
      <w:pPr>
        <w:pStyle w:val="Normal"/>
        <w:jc w:val="center"/>
        <w:rPr>
          <w:rFonts w:ascii="Calibri" w:hAnsi="Calibri" w:cs="Calibri"/>
          <w:i/>
          <w:i/>
          <w:sz w:val="24"/>
        </w:rPr>
      </w:pPr>
      <w:r>
        <w:rPr>
          <w:rFonts w:cs="Calibri" w:ascii="Calibri" w:hAnsi="Calibri"/>
          <w:i/>
          <w:sz w:val="24"/>
        </w:rPr>
        <w:t>ALL EQUAL, ALL DIFFERENT, LEARNING TOGETHER IN GOD’S WORLD</w:t>
      </w:r>
    </w:p>
    <w:p>
      <w:pPr>
        <w:pStyle w:val="1bodycopy10pt"/>
        <w:rPr>
          <w:rFonts w:ascii="Calibri" w:hAnsi="Calibri" w:cs="Calibri"/>
          <w:b/>
          <w:i/>
          <w:i/>
          <w:sz w:val="24"/>
          <w:lang w:val="en-GB"/>
        </w:rPr>
      </w:pPr>
      <w:r>
        <w:rPr>
          <w:rFonts w:cs="Calibri" w:ascii="Calibri" w:hAnsi="Calibri"/>
          <w:b/>
          <w:i/>
          <w:sz w:val="24"/>
          <w:lang w:val="en-GB"/>
        </w:rPr>
      </w:r>
    </w:p>
    <w:p>
      <w:pPr>
        <w:pStyle w:val="1bodycopy"/>
        <w:rPr>
          <w:rFonts w:ascii="Calibri" w:hAnsi="Calibri" w:cs="Calibri"/>
          <w:b/>
          <w:i/>
          <w:i/>
          <w:sz w:val="24"/>
          <w:lang w:val="en-GB" w:eastAsia="en-US"/>
        </w:rPr>
      </w:pPr>
      <w:r>
        <w:rPr>
          <w:rFonts w:cs="Calibri" w:ascii="Calibri" w:hAnsi="Calibri"/>
          <w:b/>
          <w:bCs/>
          <w:i/>
          <w:sz w:val="24"/>
          <w:lang w:val="en-GB" w:eastAsia="en-US"/>
        </w:rPr>
        <w:t>As a maintained primary school, we are required to provide Relationships Education to pupils receiving primary education, in accordance with the Relationships Education, Relationships and Sex Education and Health Education (England) Regulations 2019, made under section 34 of the Children and Social Work Act 2017.</w:t>
      </w:r>
    </w:p>
    <w:p>
      <w:pPr>
        <w:pStyle w:val="1bodycopy"/>
        <w:rPr>
          <w:rFonts w:ascii="Calibri" w:hAnsi="Calibri" w:cs="Calibri"/>
          <w:b/>
          <w:i/>
          <w:i/>
          <w:sz w:val="24"/>
          <w:lang w:val="en-GB" w:eastAsia="en-US"/>
        </w:rPr>
      </w:pPr>
      <w:r>
        <w:rPr>
          <w:rFonts w:cs="Calibri" w:ascii="Calibri" w:hAnsi="Calibri"/>
          <w:b/>
          <w:bCs/>
          <w:i/>
          <w:sz w:val="24"/>
          <w:lang w:val="en-GB" w:eastAsia="en-US"/>
        </w:rPr>
        <w:t>Sex education is not compulsory in primary schools. However, pupils must receive the statutory elements of the National Curriculum for Science, including relevant content relating to the human body, growth and puberty and reproduction. Schools may also choose to provide additional sex education. Where this is provided, parents should be consulted about its content and informed of their right to request withdrawal from sex education.</w:t>
      </w:r>
    </w:p>
    <w:p>
      <w:pPr>
        <w:pStyle w:val="1bodycopy"/>
        <w:rPr>
          <w:rFonts w:ascii="Calibri" w:hAnsi="Calibri" w:cs="Calibri"/>
          <w:b/>
          <w:i/>
          <w:i/>
          <w:sz w:val="24"/>
          <w:lang w:val="en-GB" w:eastAsia="en-US"/>
        </w:rPr>
      </w:pPr>
      <w:r>
        <w:rPr>
          <w:rFonts w:cs="Calibri" w:ascii="Calibri" w:hAnsi="Calibri"/>
          <w:b/>
          <w:bCs/>
          <w:i/>
          <w:sz w:val="24"/>
          <w:lang w:val="en-GB" w:eastAsia="en-US"/>
        </w:rPr>
        <w:t xml:space="preserve">In delivering Relationships Education and, where applicable, sex education, the school must have regard to the Department for Education's statutory guidance, </w:t>
      </w:r>
      <w:r>
        <w:rPr>
          <w:rFonts w:cs="Calibri" w:ascii="Calibri" w:hAnsi="Calibri"/>
          <w:b/>
          <w:bCs/>
          <w:i/>
          <w:iCs/>
          <w:sz w:val="24"/>
          <w:lang w:val="en-GB" w:eastAsia="en-US"/>
        </w:rPr>
        <w:t>Relationships Education, Relationships and Sex Education (RSE) and Health Education</w:t>
      </w:r>
      <w:r>
        <w:rPr>
          <w:rFonts w:cs="Calibri" w:ascii="Calibri" w:hAnsi="Calibri"/>
          <w:b/>
          <w:bCs/>
          <w:i/>
          <w:sz w:val="24"/>
          <w:lang w:val="en-GB" w:eastAsia="en-US"/>
        </w:rPr>
        <w:t>, issued under section 80A of the Education Act 2002 and section 403 of the Education Act 1996. The current revised guidance came into effect on 1 September 2026.</w:t>
      </w:r>
    </w:p>
    <w:p>
      <w:pPr>
        <w:pStyle w:val="1bodycopy"/>
        <w:rPr>
          <w:rFonts w:ascii="Calibri" w:hAnsi="Calibri" w:cs="Calibri"/>
          <w:b/>
          <w:i/>
          <w:i/>
          <w:sz w:val="24"/>
          <w:lang w:val="en-GB" w:eastAsia="en-US"/>
        </w:rPr>
      </w:pPr>
      <w:r>
        <w:rPr>
          <w:rFonts w:cs="Calibri" w:ascii="Calibri" w:hAnsi="Calibri"/>
          <w:b/>
          <w:bCs/>
          <w:i/>
          <w:sz w:val="24"/>
          <w:lang w:val="en-GB" w:eastAsia="en-US"/>
        </w:rPr>
        <w:t>Primary Relationships Education focuses on developing pupils' knowledge, understanding and skills to build positive, respectful and healthy relationships and to keep themselves and others safe. It includes learning about families and people who care for them, caring friendships, respectful relationships, online safety and being safe. The curriculum is age-appropriate and supports pupils to recognise boundaries, understand consent and privacy, identify risks and abuse, and know how and where to seek help.</w:t>
      </w:r>
    </w:p>
    <w:p>
      <w:pPr>
        <w:pStyle w:val="1bodycopy"/>
        <w:rPr>
          <w:rFonts w:ascii="Calibri" w:hAnsi="Calibri" w:cs="Calibri"/>
          <w:b/>
          <w:i/>
          <w:i/>
          <w:sz w:val="24"/>
          <w:lang w:val="en-GB" w:eastAsia="en-US"/>
        </w:rPr>
      </w:pPr>
      <w:r>
        <w:rPr>
          <w:rFonts w:cs="Calibri" w:ascii="Calibri" w:hAnsi="Calibri"/>
          <w:b/>
          <w:bCs/>
          <w:i/>
          <w:sz w:val="24"/>
          <w:lang w:val="en-GB" w:eastAsia="en-US"/>
        </w:rPr>
        <w:t>The school will provide an age-appropriate, inclusive and carefully sequenced programme which enables pupils to develop the knowledge, skills and understanding needed to support their wellbeing, safety and positive relationships.</w:t>
      </w:r>
    </w:p>
    <w:p>
      <w:pPr>
        <w:pStyle w:val="Normal"/>
        <w:spacing w:lineRule="auto" w:line="264"/>
        <w:rPr>
          <w:rFonts w:ascii="Calibri" w:hAnsi="Calibri" w:cs="Calibri"/>
          <w:b/>
          <w:bCs/>
          <w:i/>
          <w:i/>
          <w:sz w:val="24"/>
          <w:lang w:val="en-GB" w:eastAsia="en-US"/>
        </w:rPr>
      </w:pPr>
      <w:r>
        <w:rPr>
          <w:rFonts w:cs="Calibri" w:ascii="Calibri" w:hAnsi="Calibri"/>
          <w:b/>
          <w:bCs/>
          <w:i/>
          <w:sz w:val="24"/>
          <w:lang w:val="en-GB" w:eastAsia="en-US"/>
        </w:rPr>
      </w:r>
    </w:p>
    <w:p>
      <w:pPr>
        <w:pStyle w:val="Heading1"/>
      </w:pPr>
      <w:r>
        <w:t>Contents</w:t>
      </w:r>
    </w:p>
    <w:p>
      <w:pPr>
        <w:pStyle w:val="Normal"/>
      </w:pPr>
      <w:r/>
      <w:r>
        <w:fldChar w:fldCharType="begin"/>
        <w:instrText xml:space="preserve"> TOC \o "1-1" \h \z \u </w:instrText>
        <w:fldChar w:fldCharType="separate"/>
        <w:t>Right-click to update the table of contents.</w:t>
        <w:fldChar w:fldCharType="end"/>
      </w:r>
    </w:p>
    <w:p>
      <w:pPr>
        <w:pStyle w:val="1bodycopy10pt"/>
      </w:pPr>
      <w:r>
        <w:t>The contents list will update automatically in Microsoft Word when the document is opened and the table of contents is updated.</w:t>
      </w:r>
    </w:p>
    <w:p>
      <w:pPr>
        <w:pStyle w:val="Heading1"/>
        <w:spacing w:lineRule="auto" w:line="264"/>
        <w:rPr>
          <w:rFonts w:ascii="Calibri" w:hAnsi="Calibri" w:cs="Calibri"/>
          <w:b/>
          <w:bCs/>
          <w:sz w:val="24"/>
          <w:lang w:val="en-GB"/>
        </w:rPr>
      </w:pPr>
      <w:r>
        <w:rPr>
          <w:rFonts w:cs="Calibri" w:ascii="Calibri" w:hAnsi="Calibri"/>
          <w:b/>
          <w:bCs/>
          <w:sz w:val="24"/>
          <w:lang w:val="en-GB"/>
        </w:rPr>
        <w:t>1. Intent</w:t>
      </w:r>
    </w:p>
    <w:p>
      <w:pPr>
        <w:pStyle w:val="Normal"/>
        <w:spacing w:lineRule="auto" w:line="264"/>
        <w:rPr>
          <w:rFonts w:ascii="Calibri" w:hAnsi="Calibri" w:cs="Calibri"/>
          <w:sz w:val="24"/>
          <w:lang w:val="en-GB"/>
        </w:rPr>
      </w:pPr>
      <w:r>
        <w:rPr>
          <w:rFonts w:cs="Calibri" w:ascii="Calibri" w:hAnsi="Calibri"/>
          <w:sz w:val="24"/>
          <w:lang w:val="en-GB"/>
        </w:rPr>
        <w:t>At St John’s School, we believe that high-quality Relationships Education helps children develop the knowledge, skills, confidence and personal characteristics they need to form positive relationships, keep themselves and others safe, and flourish as individuals.</w:t>
      </w:r>
    </w:p>
    <w:p>
      <w:pPr>
        <w:pStyle w:val="Normal"/>
        <w:spacing w:lineRule="auto" w:line="264"/>
        <w:rPr/>
      </w:pPr>
      <w:r>
        <w:rPr>
          <w:rFonts w:cs="Calibri" w:ascii="Calibri" w:hAnsi="Calibri"/>
          <w:sz w:val="24"/>
          <w:lang w:val="en-GB"/>
        </w:rPr>
        <w:t>The school's Relationships, Health and Sex Education provision forms part of our wider PSHE and personal development curriculum and contributes to pupils' spiritual, moral, social and cultural development.</w:t>
      </w:r>
    </w:p>
    <w:p>
      <w:pPr>
        <w:pStyle w:val="Normal"/>
        <w:spacing w:lineRule="auto" w:line="264"/>
        <w:rPr/>
      </w:pPr>
      <w:r>
        <w:rPr>
          <w:rFonts w:cs="Calibri" w:ascii="Calibri" w:hAnsi="Calibri"/>
          <w:sz w:val="24"/>
          <w:lang w:val="en-GB"/>
        </w:rPr>
        <w:t xml:space="preserve">Our curriculum is rooted in the Christian ethos of St John’s and reflects our school values of </w:t>
      </w:r>
      <w:r>
        <w:rPr>
          <w:rFonts w:cs="Calibri" w:ascii="Calibri" w:hAnsi="Calibri"/>
          <w:b/>
          <w:bCs/>
          <w:sz w:val="24"/>
          <w:lang w:val="en-GB"/>
        </w:rPr>
        <w:t>Courage, Compassion</w:t>
      </w:r>
      <w:r>
        <w:rPr>
          <w:rFonts w:cs="Calibri" w:ascii="Calibri" w:hAnsi="Calibri"/>
          <w:sz w:val="24"/>
          <w:lang w:val="en-GB"/>
        </w:rPr>
        <w:t xml:space="preserve">, </w:t>
      </w:r>
      <w:r>
        <w:rPr>
          <w:rFonts w:cs="Calibri" w:ascii="Calibri" w:hAnsi="Calibri"/>
          <w:b/>
          <w:bCs/>
          <w:sz w:val="24"/>
          <w:lang w:val="en-GB"/>
        </w:rPr>
        <w:t>Resilience</w:t>
      </w:r>
      <w:r>
        <w:rPr>
          <w:rFonts w:cs="Calibri" w:ascii="Calibri" w:hAnsi="Calibri"/>
          <w:sz w:val="24"/>
          <w:lang w:val="en-GB"/>
        </w:rPr>
        <w:t xml:space="preserve"> and </w:t>
      </w:r>
      <w:r>
        <w:rPr>
          <w:rFonts w:cs="Calibri" w:ascii="Calibri" w:hAnsi="Calibri"/>
          <w:b/>
          <w:bCs/>
          <w:sz w:val="24"/>
          <w:lang w:val="en-GB"/>
        </w:rPr>
        <w:t>Respect</w:t>
      </w:r>
      <w:r>
        <w:rPr>
          <w:rFonts w:cs="Calibri" w:ascii="Calibri" w:hAnsi="Calibri"/>
          <w:sz w:val="24"/>
          <w:lang w:val="en-GB"/>
        </w:rPr>
        <w:t xml:space="preserve"> together with the universal values of honesty, integrity, resilience, perseverance, courage, humility, kindness, generosity, trustworthiness and a sense of justice.</w:t>
      </w:r>
    </w:p>
    <w:p>
      <w:pPr>
        <w:pStyle w:val="Normal"/>
        <w:spacing w:lineRule="auto" w:line="264"/>
        <w:rPr>
          <w:rFonts w:ascii="Calibri" w:hAnsi="Calibri" w:cs="Calibri"/>
          <w:sz w:val="24"/>
          <w:lang w:val="en-GB"/>
        </w:rPr>
      </w:pPr>
      <w:r>
        <w:rPr>
          <w:rFonts w:cs="Calibri" w:ascii="Calibri" w:hAnsi="Calibri"/>
          <w:sz w:val="24"/>
          <w:lang w:val="en-GB"/>
        </w:rPr>
        <w:t>These values are integral to our school belief:</w:t>
      </w:r>
    </w:p>
    <w:p>
      <w:pPr>
        <w:pStyle w:val="Normal"/>
        <w:spacing w:lineRule="auto" w:line="264"/>
        <w:rPr>
          <w:rFonts w:ascii="Calibri" w:hAnsi="Calibri" w:cs="Calibri"/>
          <w:sz w:val="24"/>
          <w:lang w:val="en-GB"/>
        </w:rPr>
      </w:pPr>
      <w:r>
        <w:rPr>
          <w:rFonts w:cs="Calibri" w:ascii="Calibri" w:hAnsi="Calibri"/>
          <w:b/>
          <w:bCs/>
          <w:sz w:val="24"/>
          <w:lang w:val="en-GB"/>
        </w:rPr>
        <w:t>All Different, All Equal: All Learning Together in God’s World.</w:t>
      </w:r>
    </w:p>
    <w:p>
      <w:pPr>
        <w:pStyle w:val="Normal"/>
        <w:spacing w:lineRule="auto" w:line="264"/>
        <w:rPr/>
      </w:pPr>
      <w:r>
        <w:rPr>
          <w:rFonts w:cs="Calibri" w:ascii="Calibri" w:hAnsi="Calibri"/>
          <w:sz w:val="24"/>
          <w:lang w:val="en-GB"/>
        </w:rPr>
        <w:t>We seek to develop pupils who understand the importance of self-respect, self-worth, kindness, empathy, responsibility and respect for others. We recognise that pupils and their families may have different beliefs, experiences and circumstances and we teach with sensitivity, respect and age-appropriate language.</w:t>
      </w:r>
    </w:p>
    <w:p>
      <w:pPr>
        <w:pStyle w:val="Normal"/>
        <w:spacing w:lineRule="auto" w:line="264"/>
        <w:rPr>
          <w:rFonts w:ascii="Calibri" w:hAnsi="Calibri" w:cs="Calibri"/>
          <w:sz w:val="24"/>
          <w:lang w:val="en-GB"/>
        </w:rPr>
      </w:pPr>
      <w:r>
        <w:rPr>
          <w:rFonts w:cs="Calibri" w:ascii="Calibri" w:hAnsi="Calibri"/>
          <w:sz w:val="24"/>
          <w:lang w:val="en-GB"/>
        </w:rPr>
        <w:t>Our aims are to:</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provide a safe, supportive framework in which sensitive discussions can take place;</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help pupils develop self-respect, confidence, self-esteem and empathy;</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teach pupils how to form and sustain positive, caring and respectful relationships;</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help pupils understand boundaries, privacy and the importance of respecting their own and other people's bodies;</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help pupils recognise relationships or situations that may be unsafe, harmful or abusive and know how and where to seek help;</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develop pupils' understanding of respectful behaviour online as well as offline;</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teach pupils accurate and age-appropriate vocabulary for their bodies and relationships;</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prepare pupils for puberty and the physical and emotional changes associated with growing up;</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provide statutory Relationships Education and Health Education;</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provide the statutory National Curriculum Science content relating to human development, puberty and reproduction;</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provide additional, age-appropriate Sex Education in Year 6, as determined by the school and described clearly within this policy;</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enable pupils to understand and respect difference without stigmatisation or discrimination;</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ensure that teaching is accessible to all pupils, including pupils with SEND;</w:t>
      </w:r>
    </w:p>
    <w:p>
      <w:pPr>
        <w:pStyle w:val="Normal"/>
        <w:numPr>
          <w:ilvl w:val="0"/>
          <w:numId w:val="32"/>
        </w:numPr>
        <w:spacing w:lineRule="auto" w:line="264"/>
        <w:rPr>
          <w:rFonts w:ascii="Calibri" w:hAnsi="Calibri" w:cs="Calibri"/>
          <w:sz w:val="24"/>
          <w:lang w:val="en-GB"/>
        </w:rPr>
      </w:pPr>
      <w:r>
        <w:rPr>
          <w:rFonts w:cs="Calibri" w:ascii="Calibri" w:hAnsi="Calibri"/>
          <w:sz w:val="24"/>
          <w:lang w:val="en-GB"/>
        </w:rPr>
        <w:t>work positively and transparently with parents and carers, recognising their important role as the first educators of their children.</w:t>
      </w:r>
    </w:p>
    <w:p>
      <w:pPr>
        <w:pStyle w:val="Normal"/>
        <w:spacing w:lineRule="auto" w:line="264"/>
        <w:rPr>
          <w:rFonts w:ascii="Calibri" w:hAnsi="Calibri" w:cs="Calibri"/>
          <w:sz w:val="24"/>
          <w:lang w:val="en-GB"/>
        </w:rPr>
      </w:pPr>
      <w:r>
        <w:rPr>
          <w:rFonts w:cs="Calibri" w:ascii="Calibri" w:hAnsi="Calibri"/>
          <w:sz w:val="24"/>
          <w:lang w:val="en-GB"/>
        </w:rPr>
        <w:t>Relationships Education should equip pupils with the knowledge and skills they need to develop healthy relationships, recognise risks and harms, and keep themselves and others safe. GOV.UK+1</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2. Legislation and statutory guidance</w:t>
      </w:r>
    </w:p>
    <w:p>
      <w:pPr>
        <w:pStyle w:val="Normal"/>
        <w:spacing w:lineRule="auto" w:line="264"/>
        <w:rPr>
          <w:rFonts w:ascii="Calibri" w:hAnsi="Calibri" w:cs="Calibri"/>
          <w:sz w:val="24"/>
          <w:lang w:val="en-GB"/>
        </w:rPr>
      </w:pPr>
      <w:r>
        <w:rPr>
          <w:rFonts w:cs="Calibri" w:ascii="Calibri" w:hAnsi="Calibri"/>
          <w:sz w:val="24"/>
          <w:lang w:val="en-GB"/>
        </w:rPr>
        <w:t>This policy has regard to the following legislation and guidance:</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Education Act 2002</w:t>
      </w:r>
      <w:r>
        <w:rPr>
          <w:rFonts w:cs="Calibri" w:ascii="Calibri" w:hAnsi="Calibri"/>
          <w:sz w:val="24"/>
          <w:lang w:val="en-GB"/>
        </w:rPr>
        <w:t>, including sections 80, 80A and 80B;</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Children and Social Work Act 2017</w:t>
      </w:r>
      <w:r>
        <w:rPr>
          <w:rFonts w:cs="Calibri" w:ascii="Calibri" w:hAnsi="Calibri"/>
          <w:sz w:val="24"/>
          <w:lang w:val="en-GB"/>
        </w:rPr>
        <w:t>, sections 34 and 35;</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Relationships Education, Relationships and Sex Education and Health Education (England) Regulations 2019</w:t>
      </w:r>
      <w:r>
        <w:rPr>
          <w:rFonts w:cs="Calibri" w:ascii="Calibri" w:hAnsi="Calibri"/>
          <w:sz w:val="24"/>
          <w:lang w:val="en-GB"/>
        </w:rPr>
        <w:t>;</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Education Act 1996</w:t>
      </w:r>
      <w:r>
        <w:rPr>
          <w:rFonts w:cs="Calibri" w:ascii="Calibri" w:hAnsi="Calibri"/>
          <w:sz w:val="24"/>
          <w:lang w:val="en-GB"/>
        </w:rPr>
        <w:t>, including provisions concerning withdrawal from sex education;</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Equality Act 2010</w:t>
      </w:r>
      <w:r>
        <w:rPr>
          <w:rFonts w:cs="Calibri" w:ascii="Calibri" w:hAnsi="Calibri"/>
          <w:sz w:val="24"/>
          <w:lang w:val="en-GB"/>
        </w:rPr>
        <w:t>, including the Public Sector Equality Duty;</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SEND Code of Practice: 0 to 25 years</w:t>
      </w:r>
      <w:r>
        <w:rPr>
          <w:rFonts w:cs="Calibri" w:ascii="Calibri" w:hAnsi="Calibri"/>
          <w:sz w:val="24"/>
          <w:lang w:val="en-GB"/>
        </w:rPr>
        <w:t>;</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Keeping Children Safe in Education</w:t>
      </w:r>
      <w:r>
        <w:rPr>
          <w:rFonts w:cs="Calibri" w:ascii="Calibri" w:hAnsi="Calibri"/>
          <w:sz w:val="24"/>
          <w:lang w:val="en-GB"/>
        </w:rPr>
        <w:t>;</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Working Together to Safeguard Children</w:t>
      </w:r>
      <w:r>
        <w:rPr>
          <w:rFonts w:cs="Calibri" w:ascii="Calibri" w:hAnsi="Calibri"/>
          <w:sz w:val="24"/>
          <w:lang w:val="en-GB"/>
        </w:rPr>
        <w:t>;</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National Curriculum for England</w:t>
      </w:r>
      <w:r>
        <w:rPr>
          <w:rFonts w:cs="Calibri" w:ascii="Calibri" w:hAnsi="Calibri"/>
          <w:sz w:val="24"/>
          <w:lang w:val="en-GB"/>
        </w:rPr>
        <w:t>, including Science;</w:t>
      </w:r>
    </w:p>
    <w:p>
      <w:pPr>
        <w:pStyle w:val="Normal"/>
        <w:numPr>
          <w:ilvl w:val="0"/>
          <w:numId w:val="15"/>
        </w:numPr>
        <w:spacing w:lineRule="auto" w:line="264"/>
        <w:rPr>
          <w:rFonts w:ascii="Calibri" w:hAnsi="Calibri" w:cs="Calibri"/>
          <w:sz w:val="24"/>
          <w:lang w:val="en-GB"/>
        </w:rPr>
      </w:pPr>
      <w:r>
        <w:rPr>
          <w:rFonts w:cs="Calibri" w:ascii="Calibri" w:hAnsi="Calibri"/>
          <w:b/>
          <w:bCs/>
          <w:sz w:val="24"/>
          <w:lang w:val="en-GB"/>
        </w:rPr>
        <w:t>Early Years Foundation Stage statutory framework</w:t>
      </w:r>
      <w:r>
        <w:rPr>
          <w:rFonts w:cs="Calibri" w:ascii="Calibri" w:hAnsi="Calibri"/>
          <w:sz w:val="24"/>
          <w:lang w:val="en-GB"/>
        </w:rPr>
        <w:t>, where applicable;</w:t>
      </w:r>
    </w:p>
    <w:p>
      <w:pPr>
        <w:pStyle w:val="Normal"/>
        <w:numPr>
          <w:ilvl w:val="0"/>
          <w:numId w:val="15"/>
        </w:numPr>
        <w:spacing w:lineRule="auto" w:line="264"/>
        <w:rPr>
          <w:rFonts w:ascii="Calibri" w:hAnsi="Calibri" w:cs="Calibri"/>
          <w:sz w:val="24"/>
          <w:lang w:val="en-GB"/>
        </w:rPr>
      </w:pPr>
      <w:r>
        <w:rPr>
          <w:rFonts w:cs="Calibri" w:ascii="Calibri" w:hAnsi="Calibri"/>
          <w:sz w:val="24"/>
          <w:lang w:val="en-GB"/>
        </w:rPr>
        <w:t xml:space="preserve">the Department for Education's </w:t>
      </w:r>
      <w:r>
        <w:rPr>
          <w:rFonts w:cs="Calibri" w:ascii="Calibri" w:hAnsi="Calibri"/>
          <w:b/>
          <w:bCs/>
          <w:sz w:val="24"/>
          <w:lang w:val="en-GB"/>
        </w:rPr>
        <w:t>Relationships Education, Relationships and Sex Education (RSE) and Health Education statutory guidance</w:t>
      </w:r>
      <w:r>
        <w:rPr>
          <w:rFonts w:cs="Calibri" w:ascii="Calibri" w:hAnsi="Calibri"/>
          <w:sz w:val="24"/>
          <w:lang w:val="en-GB"/>
        </w:rPr>
        <w:t xml:space="preserve">, which came into force on </w:t>
      </w:r>
      <w:r>
        <w:rPr>
          <w:rFonts w:cs="Calibri" w:ascii="Calibri" w:hAnsi="Calibri"/>
          <w:b/>
          <w:bCs/>
          <w:sz w:val="24"/>
          <w:lang w:val="en-GB"/>
        </w:rPr>
        <w:t>1 September 2026</w:t>
      </w:r>
      <w:r>
        <w:rPr>
          <w:rFonts w:cs="Calibri" w:ascii="Calibri" w:hAnsi="Calibri"/>
          <w:sz w:val="24"/>
          <w:lang w:val="en-GB"/>
        </w:rPr>
        <w:t>.</w:t>
      </w:r>
    </w:p>
    <w:p>
      <w:pPr>
        <w:pStyle w:val="Normal"/>
        <w:spacing w:lineRule="auto" w:line="264"/>
        <w:rPr>
          <w:rFonts w:ascii="Calibri" w:hAnsi="Calibri" w:cs="Calibri"/>
          <w:sz w:val="24"/>
          <w:lang w:val="en-GB"/>
        </w:rPr>
      </w:pPr>
      <w:r>
        <w:rPr>
          <w:rFonts w:cs="Calibri" w:ascii="Calibri" w:hAnsi="Calibri"/>
          <w:sz w:val="24"/>
          <w:lang w:val="en-GB"/>
        </w:rPr>
        <w:t>The DfE guidance is statutory guidance. Schools must have regard to it and should have good reasons where they depart from provisions stating what schools should or should not do. GOV.UK+1</w:t>
      </w:r>
    </w:p>
    <w:p>
      <w:pPr>
        <w:pStyle w:val="Normal"/>
        <w:spacing w:lineRule="auto" w:line="264"/>
        <w:rPr/>
      </w:pPr>
      <w:r>
        <w:rPr>
          <w:rFonts w:cs="Calibri" w:ascii="Calibri" w:hAnsi="Calibri"/>
          <w:sz w:val="24"/>
          <w:lang w:val="en-GB"/>
        </w:rPr>
        <w:t>The governing body of a maintained school must have regard to statutory guidance issued under section 80A of the Education Act 2002. Legislation.gov.uk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1bodycopy10pt"/>
      </w:pPr>
      <w:r>
        <w:t>· Keeping Children Safe in Education (KCSIE) 2026;</w:t>
      </w:r>
    </w:p>
    <w:p>
      <w:pPr>
        <w:pStyle w:val="1bodycopy10pt"/>
      </w:pPr>
      <w:r>
        <w:t>· Working Together to Safeguard Children 2026;</w:t>
      </w:r>
    </w:p>
    <w:p>
      <w:pPr>
        <w:pStyle w:val="1bodycopy10pt"/>
      </w:pPr>
      <w:r>
        <w:t>· Information sharing to safeguard children and young people (statutory guidance, September 2026).</w:t>
      </w:r>
    </w:p>
    <w:p>
      <w:pPr>
        <w:pStyle w:val="Heading1"/>
        <w:spacing w:lineRule="auto" w:line="264"/>
        <w:rPr>
          <w:rFonts w:ascii="Calibri" w:hAnsi="Calibri" w:cs="Calibri"/>
          <w:b/>
          <w:bCs/>
          <w:sz w:val="24"/>
          <w:lang w:val="en-GB"/>
        </w:rPr>
      </w:pPr>
      <w:r>
        <w:rPr>
          <w:rFonts w:cs="Calibri" w:ascii="Calibri" w:hAnsi="Calibri"/>
          <w:b/>
          <w:bCs/>
          <w:sz w:val="24"/>
          <w:lang w:val="en-GB"/>
        </w:rPr>
        <w:t>3. Statutory requirements</w:t>
      </w:r>
    </w:p>
    <w:p>
      <w:pPr>
        <w:pStyle w:val="Normal"/>
        <w:spacing w:lineRule="auto" w:line="264"/>
        <w:rPr>
          <w:rFonts w:ascii="Calibri" w:hAnsi="Calibri" w:cs="Calibri"/>
          <w:sz w:val="24"/>
          <w:lang w:val="en-GB"/>
        </w:rPr>
      </w:pPr>
      <w:r>
        <w:rPr>
          <w:rFonts w:cs="Calibri" w:ascii="Calibri" w:hAnsi="Calibri"/>
          <w:sz w:val="24"/>
          <w:lang w:val="en-GB"/>
        </w:rPr>
        <w:t>St John’s School recognises the distinction between:</w:t>
      </w:r>
    </w:p>
    <w:p>
      <w:pPr>
        <w:pStyle w:val="Normal"/>
        <w:spacing w:lineRule="auto" w:line="264"/>
        <w:rPr>
          <w:rFonts w:ascii="Calibri" w:hAnsi="Calibri" w:cs="Calibri"/>
          <w:b/>
          <w:bCs/>
          <w:sz w:val="24"/>
          <w:lang w:val="en-GB"/>
        </w:rPr>
      </w:pPr>
      <w:r>
        <w:rPr>
          <w:rFonts w:cs="Calibri" w:ascii="Calibri" w:hAnsi="Calibri"/>
          <w:b/>
          <w:bCs/>
          <w:sz w:val="24"/>
          <w:lang w:val="en-GB"/>
        </w:rPr>
        <w:t>Relationships Education</w:t>
      </w:r>
    </w:p>
    <w:p>
      <w:pPr>
        <w:pStyle w:val="Normal"/>
        <w:spacing w:lineRule="auto" w:line="264"/>
        <w:rPr/>
      </w:pPr>
      <w:r>
        <w:rPr>
          <w:rFonts w:cs="Calibri" w:ascii="Calibri" w:hAnsi="Calibri"/>
          <w:sz w:val="24"/>
          <w:lang w:val="en-GB"/>
        </w:rPr>
        <w:t xml:space="preserve">Relationships Education is </w:t>
      </w:r>
      <w:r>
        <w:rPr>
          <w:rFonts w:cs="Calibri" w:ascii="Calibri" w:hAnsi="Calibri"/>
          <w:b/>
          <w:bCs/>
          <w:sz w:val="24"/>
          <w:lang w:val="en-GB"/>
        </w:rPr>
        <w:t>statutory for pupils receiving primary education</w:t>
      </w:r>
      <w:r>
        <w:rPr>
          <w:rFonts w:cs="Calibri" w:ascii="Calibri" w:hAnsi="Calibri"/>
          <w:sz w:val="24"/>
          <w:lang w:val="en-GB"/>
        </w:rPr>
        <w:t>.</w:t>
      </w:r>
    </w:p>
    <w:p>
      <w:pPr>
        <w:pStyle w:val="Normal"/>
        <w:spacing w:lineRule="auto" w:line="264"/>
        <w:rPr>
          <w:rFonts w:ascii="Calibri" w:hAnsi="Calibri" w:cs="Calibri"/>
          <w:sz w:val="24"/>
          <w:lang w:val="en-GB"/>
        </w:rPr>
      </w:pPr>
      <w:r>
        <w:rPr>
          <w:rFonts w:cs="Calibri" w:ascii="Calibri" w:hAnsi="Calibri"/>
          <w:sz w:val="24"/>
          <w:lang w:val="en-GB"/>
        </w:rPr>
        <w:t>It teaches the knowledge and skills that form the building blocks of positive relationships, including relationships with family members, friends, peers and adults, and relationships online.</w:t>
      </w:r>
    </w:p>
    <w:p>
      <w:pPr>
        <w:pStyle w:val="Normal"/>
        <w:spacing w:lineRule="auto" w:line="264"/>
        <w:rPr>
          <w:rFonts w:ascii="Calibri" w:hAnsi="Calibri" w:cs="Calibri"/>
          <w:b/>
          <w:bCs/>
          <w:sz w:val="24"/>
          <w:lang w:val="en-GB"/>
        </w:rPr>
      </w:pPr>
      <w:r>
        <w:rPr>
          <w:rFonts w:cs="Calibri" w:ascii="Calibri" w:hAnsi="Calibri"/>
          <w:b/>
          <w:bCs/>
          <w:sz w:val="24"/>
          <w:lang w:val="en-GB"/>
        </w:rPr>
        <w:t>Health Education</w:t>
      </w:r>
    </w:p>
    <w:p>
      <w:pPr>
        <w:pStyle w:val="Normal"/>
        <w:spacing w:lineRule="auto" w:line="264"/>
        <w:rPr/>
      </w:pPr>
      <w:r>
        <w:rPr>
          <w:rFonts w:cs="Calibri" w:ascii="Calibri" w:hAnsi="Calibri"/>
          <w:sz w:val="24"/>
          <w:lang w:val="en-GB"/>
        </w:rPr>
        <w:t xml:space="preserve">Health Education is also </w:t>
      </w:r>
      <w:r>
        <w:rPr>
          <w:rFonts w:cs="Calibri" w:ascii="Calibri" w:hAnsi="Calibri"/>
          <w:b/>
          <w:bCs/>
          <w:sz w:val="24"/>
          <w:lang w:val="en-GB"/>
        </w:rPr>
        <w:t>statutory for pupils in state-funded primary schools</w:t>
      </w:r>
      <w:r>
        <w:rPr>
          <w:rFonts w:cs="Calibri" w:ascii="Calibri" w:hAnsi="Calibri"/>
          <w:sz w:val="24"/>
          <w:lang w:val="en-GB"/>
        </w:rPr>
        <w:t>.</w:t>
      </w:r>
    </w:p>
    <w:p>
      <w:pPr>
        <w:pStyle w:val="Normal"/>
        <w:spacing w:lineRule="auto" w:line="264"/>
        <w:rPr/>
      </w:pPr>
      <w:r>
        <w:rPr>
          <w:rFonts w:cs="Calibri" w:ascii="Calibri" w:hAnsi="Calibri"/>
          <w:sz w:val="24"/>
          <w:lang w:val="en-GB"/>
        </w:rPr>
        <w:t>At St John’s, Health Education is delivered principally through our wider PSHE/Health Education curriculum and is complemented by Relationships Education. Relevant content includes emotional wellbeing, mental health, physical health, puberty, menstruation, personal hygiene, online wellbeing and staying safe.</w:t>
      </w:r>
    </w:p>
    <w:p>
      <w:pPr>
        <w:pStyle w:val="Normal"/>
        <w:spacing w:lineRule="auto" w:line="264"/>
        <w:rPr>
          <w:rFonts w:ascii="Calibri" w:hAnsi="Calibri" w:cs="Calibri"/>
          <w:b/>
          <w:bCs/>
          <w:sz w:val="24"/>
          <w:lang w:val="en-GB"/>
        </w:rPr>
      </w:pPr>
      <w:r>
        <w:rPr>
          <w:rFonts w:cs="Calibri" w:ascii="Calibri" w:hAnsi="Calibri"/>
          <w:b/>
          <w:bCs/>
          <w:sz w:val="24"/>
          <w:lang w:val="en-GB"/>
        </w:rPr>
        <w:t>Science</w:t>
      </w:r>
    </w:p>
    <w:p>
      <w:pPr>
        <w:pStyle w:val="Normal"/>
        <w:spacing w:lineRule="auto" w:line="264"/>
        <w:rPr>
          <w:rFonts w:ascii="Calibri" w:hAnsi="Calibri" w:cs="Calibri"/>
          <w:sz w:val="24"/>
          <w:lang w:val="en-GB"/>
        </w:rPr>
      </w:pPr>
      <w:r>
        <w:rPr>
          <w:rFonts w:cs="Calibri" w:ascii="Calibri" w:hAnsi="Calibri"/>
          <w:sz w:val="24"/>
          <w:lang w:val="en-GB"/>
        </w:rPr>
        <w:t>Pupils receive the statutory National Curriculum for Science. This includes relevant teaching about human development, puberty and human reproduction.</w:t>
      </w:r>
    </w:p>
    <w:p>
      <w:pPr>
        <w:pStyle w:val="Normal"/>
        <w:spacing w:lineRule="auto" w:line="264"/>
        <w:rPr/>
      </w:pPr>
      <w:r>
        <w:rPr>
          <w:rFonts w:cs="Calibri" w:ascii="Calibri" w:hAnsi="Calibri"/>
          <w:sz w:val="24"/>
          <w:lang w:val="en-GB"/>
        </w:rPr>
        <w:t xml:space="preserve">Parents do </w:t>
      </w:r>
      <w:r>
        <w:rPr>
          <w:rFonts w:cs="Calibri" w:ascii="Calibri" w:hAnsi="Calibri"/>
          <w:b/>
          <w:bCs/>
          <w:sz w:val="24"/>
          <w:lang w:val="en-GB"/>
        </w:rPr>
        <w:t>not</w:t>
      </w:r>
      <w:r>
        <w:rPr>
          <w:rFonts w:cs="Calibri" w:ascii="Calibri" w:hAnsi="Calibri"/>
          <w:sz w:val="24"/>
          <w:lang w:val="en-GB"/>
        </w:rPr>
        <w:t xml:space="preserve"> have a right to withdraw pupils from statutory Science, including Science content relating to puberty or sexual reproduction. GOV.UK</w:t>
      </w:r>
    </w:p>
    <w:p>
      <w:pPr>
        <w:pStyle w:val="Normal"/>
        <w:spacing w:lineRule="auto" w:line="264"/>
        <w:rPr>
          <w:rFonts w:ascii="Calibri" w:hAnsi="Calibri" w:cs="Calibri"/>
          <w:b/>
          <w:bCs/>
          <w:sz w:val="24"/>
          <w:lang w:val="en-GB"/>
        </w:rPr>
      </w:pPr>
      <w:r>
        <w:rPr>
          <w:rFonts w:cs="Calibri" w:ascii="Calibri" w:hAnsi="Calibri"/>
          <w:b/>
          <w:bCs/>
          <w:sz w:val="24"/>
          <w:lang w:val="en-GB"/>
        </w:rPr>
        <w:t>Additional Sex Education</w:t>
      </w:r>
    </w:p>
    <w:p>
      <w:pPr>
        <w:pStyle w:val="Normal"/>
        <w:spacing w:lineRule="auto" w:line="264"/>
        <w:rPr>
          <w:rFonts w:ascii="Calibri" w:hAnsi="Calibri" w:cs="Calibri"/>
          <w:sz w:val="24"/>
          <w:lang w:val="en-GB"/>
        </w:rPr>
      </w:pPr>
      <w:r>
        <w:rPr>
          <w:rFonts w:cs="Calibri" w:ascii="Calibri" w:hAnsi="Calibri"/>
          <w:sz w:val="24"/>
          <w:highlight w:val="yellow"/>
          <w:lang w:val="en-GB"/>
        </w:rPr>
        <w:t>St John’s has chosen to provide age-appropriate Sex Education in Year 6. This provision is distinct from statutory Relationships Education and from statutory Science.</w:t>
      </w:r>
    </w:p>
    <w:p>
      <w:pPr>
        <w:pStyle w:val="Normal"/>
        <w:spacing w:lineRule="auto" w:line="264"/>
        <w:rPr>
          <w:rFonts w:ascii="Calibri" w:hAnsi="Calibri" w:cs="Calibri"/>
          <w:sz w:val="24"/>
          <w:lang w:val="en-GB"/>
        </w:rPr>
      </w:pPr>
      <w:r>
        <w:rPr>
          <w:rFonts w:cs="Calibri" w:ascii="Calibri" w:hAnsi="Calibri"/>
          <w:sz w:val="24"/>
          <w:lang w:val="en-GB"/>
        </w:rPr>
        <w:t>Parents have the right to request withdrawal from this additional Sex Education, as described in section 13 of this policy.</w:t>
      </w:r>
    </w:p>
    <w:p>
      <w:pPr>
        <w:pStyle w:val="Normal"/>
        <w:spacing w:lineRule="auto" w:line="264"/>
        <w:rPr/>
      </w:pPr>
      <w:r>
        <w:rPr>
          <w:rFonts w:cs="Calibri" w:ascii="Calibri" w:hAnsi="Calibri"/>
          <w:sz w:val="24"/>
          <w:lang w:val="en-GB"/>
        </w:rPr>
        <w:t>The content, timing and resources for additional Sex Education will be clearly identified to parents in advance. GOV.UK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3"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4. Relationship with PSHE, Health Education, Science, RE and the wider curriculum</w:t>
      </w:r>
    </w:p>
    <w:p>
      <w:pPr>
        <w:pStyle w:val="Normal"/>
        <w:spacing w:lineRule="auto" w:line="264"/>
        <w:rPr>
          <w:rFonts w:ascii="Calibri" w:hAnsi="Calibri" w:cs="Calibri"/>
          <w:sz w:val="24"/>
          <w:lang w:val="en-GB"/>
        </w:rPr>
      </w:pPr>
      <w:r>
        <w:rPr>
          <w:rFonts w:cs="Calibri" w:ascii="Calibri" w:hAnsi="Calibri"/>
          <w:sz w:val="24"/>
          <w:lang w:val="en-GB"/>
        </w:rPr>
        <w:t>Relationships Education is taught principally through our PSHE curriculum but is reinforced throughout school life and across the curriculum.</w:t>
      </w:r>
    </w:p>
    <w:p>
      <w:pPr>
        <w:pStyle w:val="Normal"/>
        <w:spacing w:lineRule="auto" w:line="264"/>
        <w:rPr>
          <w:rFonts w:ascii="Calibri" w:hAnsi="Calibri" w:cs="Calibri"/>
          <w:sz w:val="24"/>
          <w:lang w:val="en-GB"/>
        </w:rPr>
      </w:pPr>
      <w:r>
        <w:rPr>
          <w:rFonts w:cs="Calibri" w:ascii="Calibri" w:hAnsi="Calibri"/>
          <w:sz w:val="24"/>
          <w:lang w:val="en-GB"/>
        </w:rPr>
        <w:t>Relevant learning may also be supported through:</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Science;</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Religious Education;</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computing and online safety;</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English and high-quality children's literature;</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collective worship and reflection;</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school values and behaviour education;</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safeguarding education;</w:t>
      </w:r>
    </w:p>
    <w:p>
      <w:pPr>
        <w:pStyle w:val="Normal"/>
        <w:numPr>
          <w:ilvl w:val="0"/>
          <w:numId w:val="8"/>
        </w:numPr>
        <w:spacing w:lineRule="auto" w:line="264"/>
        <w:rPr>
          <w:rFonts w:ascii="Calibri" w:hAnsi="Calibri" w:cs="Calibri"/>
          <w:sz w:val="24"/>
          <w:lang w:val="en-GB"/>
        </w:rPr>
      </w:pPr>
      <w:r>
        <w:rPr>
          <w:rFonts w:cs="Calibri" w:ascii="Calibri" w:hAnsi="Calibri"/>
          <w:sz w:val="24"/>
          <w:lang w:val="en-GB"/>
        </w:rPr>
        <w:t>wider opportunities for personal development.</w:t>
      </w:r>
    </w:p>
    <w:p>
      <w:pPr>
        <w:pStyle w:val="Normal"/>
        <w:spacing w:lineRule="auto" w:line="264"/>
        <w:rPr>
          <w:rFonts w:ascii="Calibri" w:hAnsi="Calibri" w:cs="Calibri"/>
          <w:sz w:val="24"/>
          <w:lang w:val="en-GB"/>
        </w:rPr>
      </w:pPr>
      <w:r>
        <w:rPr>
          <w:rFonts w:cs="Calibri" w:ascii="Calibri" w:hAnsi="Calibri"/>
          <w:sz w:val="24"/>
          <w:lang w:val="en-GB"/>
        </w:rPr>
        <w:t>The curriculum is designed so that learning is progressive and carefully sequenced. Content is revisited at appropriate stages to reinforce knowledge, skills and understanding.</w:t>
      </w:r>
    </w:p>
    <w:p>
      <w:pPr>
        <w:pStyle w:val="Normal"/>
        <w:spacing w:lineRule="auto" w:line="264"/>
        <w:rPr>
          <w:rFonts w:ascii="Calibri" w:hAnsi="Calibri" w:cs="Calibri"/>
          <w:sz w:val="24"/>
          <w:lang w:val="en-GB"/>
        </w:rPr>
      </w:pPr>
      <w:r>
        <w:rPr>
          <w:rFonts w:cs="Calibri" w:ascii="Calibri" w:hAnsi="Calibri"/>
          <w:sz w:val="24"/>
          <w:lang w:val="en-GB"/>
        </w:rPr>
        <w:t>The school will avoid unnecessary duplication with other curriculum areas while ensuring that statutory content is fully covered. GOV.UK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4"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Normal"/>
        <w:spacing w:lineRule="auto" w:line="264"/>
        <w:rPr>
          <w:rFonts w:ascii="Calibri" w:hAnsi="Calibri" w:cs="Calibri"/>
          <w:b/>
          <w:bCs/>
          <w:sz w:val="24"/>
          <w:lang w:val="en-GB"/>
        </w:rPr>
      </w:pPr>
      <w:r>
        <w:rPr>
          <w:rFonts w:cs="Calibri" w:ascii="Calibri" w:hAnsi="Calibri"/>
          <w:b/>
          <w:bCs/>
          <w:sz w:val="24"/>
          <w:lang w:val="en-GB"/>
        </w:rPr>
      </w:r>
    </w:p>
    <w:p>
      <w:pPr>
        <w:pStyle w:val="Heading1"/>
        <w:spacing w:lineRule="auto" w:line="264"/>
        <w:rPr>
          <w:rFonts w:ascii="Calibri" w:hAnsi="Calibri" w:cs="Calibri"/>
          <w:b/>
          <w:bCs/>
          <w:sz w:val="24"/>
          <w:lang w:val="en-GB"/>
        </w:rPr>
      </w:pPr>
      <w:r>
        <w:rPr>
          <w:rFonts w:cs="Calibri" w:ascii="Calibri" w:hAnsi="Calibri"/>
          <w:b/>
          <w:bCs/>
          <w:sz w:val="24"/>
          <w:lang w:val="en-GB"/>
        </w:rPr>
        <w:t>5. Curriculum principles</w:t>
      </w:r>
    </w:p>
    <w:p>
      <w:pPr>
        <w:pStyle w:val="Normal"/>
        <w:spacing w:lineRule="auto" w:line="264"/>
        <w:rPr>
          <w:rFonts w:ascii="Calibri" w:hAnsi="Calibri" w:cs="Calibri"/>
          <w:sz w:val="24"/>
          <w:lang w:val="en-GB"/>
        </w:rPr>
      </w:pPr>
      <w:r>
        <w:rPr>
          <w:rFonts w:cs="Calibri" w:ascii="Calibri" w:hAnsi="Calibri"/>
          <w:sz w:val="24"/>
          <w:lang w:val="en-GB"/>
        </w:rPr>
        <w:t>Our curriculum is designed around the following principles:</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Age and stage appropriate:</w:t>
      </w:r>
      <w:r>
        <w:rPr>
          <w:rFonts w:cs="Calibri" w:ascii="Calibri" w:hAnsi="Calibri"/>
          <w:sz w:val="24"/>
          <w:lang w:val="en-GB"/>
        </w:rPr>
        <w:t xml:space="preserve"> content is appropriate to pupils' age, maturity, developmental stage and individual circumstances.</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Progressive:</w:t>
      </w:r>
      <w:r>
        <w:rPr>
          <w:rFonts w:cs="Calibri" w:ascii="Calibri" w:hAnsi="Calibri"/>
          <w:sz w:val="24"/>
          <w:lang w:val="en-GB"/>
        </w:rPr>
        <w:t xml:space="preserve"> knowledge and skills build from Reception through to Year 6.</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Inclusive:</w:t>
      </w:r>
      <w:r>
        <w:rPr>
          <w:rFonts w:cs="Calibri" w:ascii="Calibri" w:hAnsi="Calibri"/>
          <w:sz w:val="24"/>
          <w:lang w:val="en-GB"/>
        </w:rPr>
        <w:t xml:space="preserve"> all pupils should be able to access and participate in the curriculum.</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Evidence-informed:</w:t>
      </w:r>
      <w:r>
        <w:rPr>
          <w:rFonts w:cs="Calibri" w:ascii="Calibri" w:hAnsi="Calibri"/>
          <w:sz w:val="24"/>
          <w:lang w:val="en-GB"/>
        </w:rPr>
        <w:t xml:space="preserve"> teaching should be accurate, appropriate and supported by reliable resources.</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Participative:</w:t>
      </w:r>
      <w:r>
        <w:rPr>
          <w:rFonts w:cs="Calibri" w:ascii="Calibri" w:hAnsi="Calibri"/>
          <w:sz w:val="24"/>
          <w:lang w:val="en-GB"/>
        </w:rPr>
        <w:t xml:space="preserve"> pupils should have opportunities to discuss, reflect, practise skills and ask questions.</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Positive:</w:t>
      </w:r>
      <w:r>
        <w:rPr>
          <w:rFonts w:cs="Calibri" w:ascii="Calibri" w:hAnsi="Calibri"/>
          <w:sz w:val="24"/>
          <w:lang w:val="en-GB"/>
        </w:rPr>
        <w:t xml:space="preserve"> teaching focuses on healthy, respectful relationships and positive personal development.</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Safeguarding-focused:</w:t>
      </w:r>
      <w:r>
        <w:rPr>
          <w:rFonts w:cs="Calibri" w:ascii="Calibri" w:hAnsi="Calibri"/>
          <w:sz w:val="24"/>
          <w:lang w:val="en-GB"/>
        </w:rPr>
        <w:t xml:space="preserve"> pupils develop the knowledge and confidence to recognise risks, abuse and harmful behaviour and to seek help.</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Responsive:</w:t>
      </w:r>
      <w:r>
        <w:rPr>
          <w:rFonts w:cs="Calibri" w:ascii="Calibri" w:hAnsi="Calibri"/>
          <w:sz w:val="24"/>
          <w:lang w:val="en-GB"/>
        </w:rPr>
        <w:t xml:space="preserve"> the school may adapt teaching to address emerging safeguarding or wellbeing issues affecting pupils. Where teaching departs from the published policy, parents will be informed in advance where appropriate and relevant materials will be shared on request.</w:t>
      </w:r>
    </w:p>
    <w:p>
      <w:pPr>
        <w:pStyle w:val="Normal"/>
        <w:numPr>
          <w:ilvl w:val="0"/>
          <w:numId w:val="34"/>
        </w:numPr>
        <w:spacing w:lineRule="auto" w:line="264"/>
        <w:rPr>
          <w:rFonts w:ascii="Calibri" w:hAnsi="Calibri" w:cs="Calibri"/>
          <w:sz w:val="24"/>
          <w:lang w:val="en-GB"/>
        </w:rPr>
      </w:pPr>
      <w:r>
        <w:rPr>
          <w:rFonts w:cs="Calibri" w:ascii="Calibri" w:hAnsi="Calibri"/>
          <w:b/>
          <w:bCs/>
          <w:sz w:val="24"/>
          <w:lang w:val="en-GB"/>
        </w:rPr>
        <w:t>Whole-school:</w:t>
      </w:r>
      <w:r>
        <w:rPr>
          <w:rFonts w:cs="Calibri" w:ascii="Calibri" w:hAnsi="Calibri"/>
          <w:sz w:val="24"/>
          <w:lang w:val="en-GB"/>
        </w:rPr>
        <w:t xml:space="preserve"> Relationships Education is reinforced through school policies, relationships, behaviour, safeguarding and the wider school culture. GOV.UK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5"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6. Curriculum content</w:t>
      </w:r>
    </w:p>
    <w:p>
      <w:pPr>
        <w:pStyle w:val="Normal"/>
        <w:spacing w:lineRule="auto" w:line="264"/>
        <w:rPr>
          <w:rFonts w:ascii="Calibri" w:hAnsi="Calibri" w:cs="Calibri"/>
          <w:sz w:val="24"/>
          <w:lang w:val="en-GB"/>
        </w:rPr>
      </w:pPr>
      <w:r>
        <w:rPr>
          <w:rFonts w:cs="Calibri" w:ascii="Calibri" w:hAnsi="Calibri"/>
          <w:sz w:val="24"/>
          <w:lang w:val="en-GB"/>
        </w:rPr>
        <w:t>Curriculum Content</w:t>
      </w:r>
    </w:p>
    <w:p>
      <w:pPr>
        <w:pStyle w:val="Normal"/>
        <w:spacing w:lineRule="auto" w:line="264"/>
        <w:rPr>
          <w:rFonts w:ascii="Calibri" w:hAnsi="Calibri" w:cs="Calibri"/>
          <w:sz w:val="24"/>
          <w:lang w:val="en-GB"/>
        </w:rPr>
      </w:pPr>
      <w:r>
        <w:rPr>
          <w:rFonts w:cs="Calibri" w:ascii="Calibri" w:hAnsi="Calibri"/>
          <w:sz w:val="24"/>
          <w:lang w:val="en-GB"/>
        </w:rPr>
        <w:t>Our PSHE curriculum is based on the SCARF (Safety, Caring, Achievement, Resilience and Friendship) programme. It is designed to provide pupils with the knowledge, skills and understanding they need to lead healthy, safe, responsible and fulfilling lives, while developing positive relationships and contributing positively to their school and wider community.</w:t>
      </w:r>
    </w:p>
    <w:p>
      <w:pPr>
        <w:pStyle w:val="Normal"/>
        <w:spacing w:lineRule="auto" w:line="264"/>
        <w:rPr/>
      </w:pPr>
      <w:r>
        <w:rPr>
          <w:rFonts w:cs="Calibri" w:ascii="Calibri" w:hAnsi="Calibri"/>
          <w:sz w:val="24"/>
          <w:lang w:val="en-GB"/>
        </w:rPr>
        <w:t>The curriculum is organised into six progressive units, which are revisited and developed throughout the pupils' time at school:</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Me and My Relationships – developing positive relationships, friendships, communication, cooperation, emotional awareness, assertiveness and strategies for managing feelings and seeking help.</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Valuing Difference – recognising and celebrating similarities and differences, developing respect and tolerance, understanding diversity, challenging stereotypes and prejudice, and promoting inclusion.</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Keeping Safe – developing an understanding of risk and personal safety, including online safety, safe and unsafe touches, medicines, drugs, influences, decision-making and knowing how and when to seek help.</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Rights and Respect – developing an understanding of rights, responsibilities and respect, alongside learning about money, caring for the environment, community participation, media influence and democracy.</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Being My Best – promoting physical and mental health, healthy lifestyles, hygiene, exercise, sleep, nutrition, resilience, growth mindset, skills development, aspirations and personal responsibility.</w:t>
      </w:r>
    </w:p>
    <w:p>
      <w:pPr>
        <w:pStyle w:val="Normal"/>
        <w:numPr>
          <w:ilvl w:val="0"/>
          <w:numId w:val="23"/>
        </w:numPr>
        <w:spacing w:lineRule="auto" w:line="264"/>
        <w:rPr>
          <w:rFonts w:ascii="Calibri" w:hAnsi="Calibri" w:cs="Calibri"/>
          <w:sz w:val="24"/>
          <w:lang w:val="en-GB"/>
        </w:rPr>
      </w:pPr>
      <w:r>
        <w:rPr>
          <w:rFonts w:cs="Calibri" w:ascii="Calibri" w:hAnsi="Calibri"/>
          <w:sz w:val="24"/>
          <w:lang w:val="en-GB"/>
        </w:rPr>
        <w:t>Growing and Changing – supporting pupils to understand change, growing up, life cycles, puberty, relationships, body image, self-esteem, privacy, sex education and strategies for managing change and seeking support.</w:t>
      </w:r>
    </w:p>
    <w:p>
      <w:pPr>
        <w:pStyle w:val="Normal"/>
        <w:spacing w:lineRule="auto" w:line="264"/>
        <w:rPr>
          <w:rFonts w:ascii="Calibri" w:hAnsi="Calibri" w:cs="Calibri"/>
          <w:sz w:val="24"/>
          <w:lang w:val="en-GB"/>
        </w:rPr>
      </w:pPr>
      <w:r>
        <w:rPr>
          <w:rFonts w:cs="Calibri" w:ascii="Calibri" w:hAnsi="Calibri"/>
          <w:sz w:val="24"/>
          <w:lang w:val="en-GB"/>
        </w:rPr>
        <w:t>Progression</w:t>
      </w:r>
    </w:p>
    <w:p>
      <w:pPr>
        <w:pStyle w:val="Normal"/>
        <w:spacing w:lineRule="auto" w:line="264"/>
        <w:rPr>
          <w:rFonts w:ascii="Calibri" w:hAnsi="Calibri" w:cs="Calibri"/>
          <w:sz w:val="24"/>
          <w:lang w:val="en-GB"/>
        </w:rPr>
      </w:pPr>
      <w:r>
        <w:rPr>
          <w:rFonts w:cs="Calibri" w:ascii="Calibri" w:hAnsi="Calibri"/>
          <w:sz w:val="24"/>
          <w:lang w:val="en-GB"/>
        </w:rPr>
        <w:t>The SCARF curriculum is carefully sequenced from EYFS to Year 6, with learning revisited at an age-appropriate level and progressively developed as pupils mature.</w:t>
      </w:r>
    </w:p>
    <w:p>
      <w:pPr>
        <w:pStyle w:val="Normal"/>
        <w:spacing w:lineRule="auto" w:line="264"/>
        <w:rPr/>
      </w:pPr>
      <w:r>
        <w:rPr>
          <w:rFonts w:cs="Calibri" w:ascii="Calibri" w:hAnsi="Calibri"/>
          <w:sz w:val="24"/>
          <w:lang w:val="en-GB"/>
        </w:rPr>
        <w:t>In EYFS, pupils begin to develop an understanding of themselves, their relationships with others, similarities and differences, personal safety, healthy lifestyles and the changes that occur as they grow.</w:t>
      </w:r>
    </w:p>
    <w:p>
      <w:pPr>
        <w:pStyle w:val="Normal"/>
        <w:spacing w:lineRule="auto" w:line="264"/>
        <w:rPr>
          <w:rFonts w:ascii="Calibri" w:hAnsi="Calibri" w:cs="Calibri"/>
          <w:sz w:val="24"/>
          <w:lang w:val="en-GB"/>
        </w:rPr>
      </w:pPr>
      <w:r>
        <w:rPr>
          <w:rFonts w:cs="Calibri" w:ascii="Calibri" w:hAnsi="Calibri"/>
          <w:sz w:val="24"/>
          <w:lang w:val="en-GB"/>
        </w:rPr>
        <w:t>In Key Stage 1, pupils develop their understanding of friendships, feelings, respect, difference, bullying, personal and online safety, healthy lifestyles, money and independence. They begin to develop greater awareness of their bodies, privacy, life cycles and how to seek help.</w:t>
      </w:r>
    </w:p>
    <w:p>
      <w:pPr>
        <w:pStyle w:val="Normal"/>
        <w:spacing w:lineRule="auto" w:line="264"/>
        <w:rPr/>
      </w:pPr>
      <w:r>
        <w:rPr>
          <w:rFonts w:cs="Calibri" w:ascii="Calibri" w:hAnsi="Calibri"/>
          <w:sz w:val="24"/>
          <w:lang w:val="en-GB"/>
        </w:rPr>
        <w:t>In Lower Key Stage 2, pupils build on these foundations by exploring respectful relationships, diversity, risk management, decision-making, drugs and online safety. They develop greater understanding of their responsibilities towards themselves, others, their community and the environment, while learning about puberty and the physical and emotional changes associated with growing up.</w:t>
      </w:r>
    </w:p>
    <w:p>
      <w:pPr>
        <w:pStyle w:val="Normal"/>
        <w:spacing w:lineRule="auto" w:line="264"/>
        <w:rPr/>
      </w:pPr>
      <w:r>
        <w:rPr>
          <w:rFonts w:cs="Calibri" w:ascii="Calibri" w:hAnsi="Calibri"/>
          <w:sz w:val="24"/>
          <w:lang w:val="en-GB"/>
        </w:rPr>
        <w:t>In Upper Key Stage 2, pupils develop greater independence and are supported to consider emotional needs, peer and social media influence, prejudice, stereotypes, risk, drugs, media bias, money, democracy and mental health. Learning about puberty, relationships, body image, sex education and managing change prepares pupils for the physical, emotional and social changes associated with adolescence.</w:t>
      </w:r>
    </w:p>
    <w:p>
      <w:pPr>
        <w:pStyle w:val="Normal"/>
        <w:spacing w:lineRule="auto" w:line="264"/>
        <w:rPr>
          <w:rFonts w:ascii="Calibri" w:hAnsi="Calibri" w:cs="Calibri"/>
          <w:sz w:val="24"/>
          <w:lang w:val="en-GB"/>
        </w:rPr>
      </w:pPr>
      <w:r>
        <w:rPr>
          <w:rFonts w:cs="Calibri" w:ascii="Calibri" w:hAnsi="Calibri"/>
          <w:sz w:val="24"/>
          <w:lang w:val="en-GB"/>
        </w:rPr>
        <w:t>Throughout the curriculum, pupils are encouraged to reflect, communicate, make informed choices, manage risks, seek support when needed and develop resilience and confidence. Learning is revisited regularly so that pupils can build on prior knowledge and apply their understanding to increasingly complex situations.</w:t>
      </w:r>
    </w:p>
    <w:p>
      <w:pPr>
        <w:pStyle w:val="Normal"/>
        <w:spacing w:lineRule="auto" w:line="264"/>
        <w:rPr/>
      </w:pPr>
      <w:r>
        <w:rPr>
          <w:rFonts w:cs="Calibri" w:ascii="Calibri" w:hAnsi="Calibri"/>
          <w:sz w:val="24"/>
          <w:lang w:val="en-GB"/>
        </w:rPr>
        <w:t>The curriculum also provides opportunities for pupils to develop their understanding of British values, including democracy, respect and tolerance, individual liberty, and the importance of rules and responsibilities.</w:t>
      </w:r>
    </w:p>
    <w:p>
      <w:pPr>
        <w:pStyle w:val="Normal"/>
        <w:spacing w:lineRule="auto" w:line="264"/>
        <w:rPr>
          <w:rFonts w:ascii="Calibri" w:hAnsi="Calibri" w:cs="Calibri"/>
          <w:sz w:val="24"/>
          <w:lang w:val="en-GB"/>
        </w:rPr>
      </w:pPr>
      <w:r>
        <w:rPr>
          <w:rFonts w:cs="Calibri" w:ascii="Calibri" w:hAnsi="Calibri"/>
          <w:sz w:val="24"/>
          <w:lang w:val="en-GB"/>
        </w:rPr>
        <w:t>Detailed year-group curriculum content and progression are set out in the school's PSHE curriculum overview and SCARF planning documents.</w:t>
      </w:r>
    </w:p>
    <w:p>
      <w:pPr>
        <w:pStyle w:val="Normal"/>
        <w:spacing w:lineRule="auto" w:line="264"/>
        <w:rPr>
          <w:rFonts w:ascii="Calibri" w:hAnsi="Calibri" w:cs="Calibri"/>
          <w:b/>
          <w:bCs/>
          <w:sz w:val="24"/>
          <w:lang w:val="en-GB"/>
        </w:rPr>
      </w:pPr>
      <w:r>
        <w:rPr>
          <w:rFonts w:cs="Calibri" w:ascii="Calibri" w:hAnsi="Calibri"/>
          <w:b/>
          <w:bCs/>
          <w:sz w:val="24"/>
          <w:lang w:val="en-GB"/>
        </w:rPr>
        <w:t>Optional Content</w:t>
      </w:r>
    </w:p>
    <w:p>
      <w:pPr>
        <w:pStyle w:val="Normal"/>
        <w:spacing w:lineRule="auto" w:line="264"/>
        <w:rPr>
          <w:rFonts w:ascii="Calibri" w:hAnsi="Calibri" w:cs="Calibri"/>
          <w:sz w:val="24"/>
          <w:lang w:val="en-GB"/>
        </w:rPr>
      </w:pPr>
      <w:r>
        <w:rPr>
          <w:rFonts w:cs="Calibri" w:ascii="Calibri" w:hAnsi="Calibri"/>
          <w:sz w:val="24"/>
          <w:lang w:val="en-GB"/>
        </w:rPr>
        <w:t>Our RSHE scheme includes a number of lessons and activities which are identified as optional. These elements provide opportunities to respond flexibly to the needs, maturity and circumstances of individual cohorts and are not necessarily taught every year.</w:t>
      </w:r>
    </w:p>
    <w:p>
      <w:pPr>
        <w:pStyle w:val="Normal"/>
        <w:spacing w:lineRule="auto" w:line="264"/>
        <w:rPr>
          <w:rFonts w:ascii="Calibri" w:hAnsi="Calibri" w:cs="Calibri"/>
          <w:sz w:val="24"/>
          <w:lang w:val="en-GB"/>
        </w:rPr>
      </w:pPr>
      <w:r>
        <w:rPr>
          <w:rFonts w:cs="Calibri" w:ascii="Calibri" w:hAnsi="Calibri"/>
          <w:sz w:val="24"/>
          <w:lang w:val="en-GB"/>
        </w:rPr>
        <w:t>As a school, we review the optional content annually when planning the RSHE curriculum. In making decisions about whether particular lessons are appropriate, teachers and school leaders consider their knowledge of the children in each cohort, including their age, maturity, individual needs and any relevant pastoral or safeguarding considerations. We also consider the appropriateness of the content within the context of our school community and our Christian ethos as a Church of England school.</w:t>
      </w:r>
    </w:p>
    <w:p>
      <w:pPr>
        <w:pStyle w:val="Normal"/>
        <w:spacing w:lineRule="auto" w:line="264"/>
        <w:rPr>
          <w:rFonts w:ascii="Calibri" w:hAnsi="Calibri" w:cs="Calibri"/>
          <w:sz w:val="24"/>
          <w:lang w:val="en-GB"/>
        </w:rPr>
      </w:pPr>
      <w:r>
        <w:rPr>
          <w:rFonts w:cs="Calibri" w:ascii="Calibri" w:hAnsi="Calibri"/>
          <w:sz w:val="24"/>
          <w:lang w:val="en-GB"/>
        </w:rPr>
        <w:t>Where appropriate, lessons may be adapted to ensure that they are accessible and suitable for the particular cohort. Decisions regarding optional content are made professionally and sensitively, with the aim of ensuring that our RSHE curriculum remains relevant, age-appropriate and responsive to the needs of our pupils.</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6"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7. Puberty, growing up and personal hygiene</w:t>
      </w:r>
    </w:p>
    <w:p>
      <w:pPr>
        <w:pStyle w:val="Normal"/>
        <w:spacing w:lineRule="auto" w:line="264"/>
        <w:rPr>
          <w:rFonts w:ascii="Calibri" w:hAnsi="Calibri" w:cs="Calibri"/>
          <w:sz w:val="24"/>
          <w:lang w:val="en-GB"/>
        </w:rPr>
      </w:pPr>
      <w:r>
        <w:rPr>
          <w:rFonts w:cs="Calibri" w:ascii="Calibri" w:hAnsi="Calibri"/>
          <w:sz w:val="24"/>
          <w:lang w:val="en-GB"/>
        </w:rPr>
        <w:t>Puberty and human development are taught as part of the statutory Science and Health Education curriculum and are reinforced through Relationships Education.</w:t>
      </w:r>
    </w:p>
    <w:p>
      <w:pPr>
        <w:pStyle w:val="Normal"/>
        <w:spacing w:lineRule="auto" w:line="264"/>
        <w:rPr>
          <w:rFonts w:ascii="Calibri" w:hAnsi="Calibri" w:cs="Calibri"/>
          <w:sz w:val="24"/>
          <w:lang w:val="en-GB"/>
        </w:rPr>
      </w:pPr>
      <w:r>
        <w:rPr>
          <w:rFonts w:cs="Calibri" w:ascii="Calibri" w:hAnsi="Calibri"/>
          <w:sz w:val="24"/>
          <w:lang w:val="en-GB"/>
        </w:rPr>
        <w:t>Teaching will include:</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physical and emotional changes during puberty;</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personal hygiene;</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menstruation;</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emotional wellbeing;</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respect for changing bodies;</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appropriate vocabulary;</w:t>
      </w:r>
    </w:p>
    <w:p>
      <w:pPr>
        <w:pStyle w:val="Normal"/>
        <w:numPr>
          <w:ilvl w:val="0"/>
          <w:numId w:val="12"/>
        </w:numPr>
        <w:spacing w:lineRule="auto" w:line="264"/>
        <w:rPr>
          <w:rFonts w:ascii="Calibri" w:hAnsi="Calibri" w:cs="Calibri"/>
          <w:sz w:val="24"/>
          <w:lang w:val="en-GB"/>
        </w:rPr>
      </w:pPr>
      <w:r>
        <w:rPr>
          <w:rFonts w:cs="Calibri" w:ascii="Calibri" w:hAnsi="Calibri"/>
          <w:sz w:val="24"/>
          <w:lang w:val="en-GB"/>
        </w:rPr>
        <w:t>where to obtain help and support.</w:t>
      </w:r>
    </w:p>
    <w:p>
      <w:pPr>
        <w:pStyle w:val="Normal"/>
        <w:spacing w:lineRule="auto" w:line="264"/>
        <w:rPr>
          <w:rFonts w:ascii="Calibri" w:hAnsi="Calibri" w:cs="Calibri"/>
          <w:sz w:val="24"/>
          <w:lang w:val="en-GB"/>
        </w:rPr>
      </w:pPr>
      <w:r>
        <w:rPr>
          <w:rFonts w:cs="Calibri" w:ascii="Calibri" w:hAnsi="Calibri"/>
          <w:sz w:val="24"/>
          <w:lang w:val="en-GB"/>
        </w:rPr>
        <w:t>Teaching will be sensitive and inclusive. Arrangements will be in place to support pupils who menstruate, including access to appropriate menstrual products where needed.</w:t>
      </w:r>
    </w:p>
    <w:p>
      <w:pPr>
        <w:pStyle w:val="Normal"/>
        <w:spacing w:lineRule="auto" w:line="264"/>
        <w:rPr/>
      </w:pPr>
      <w:r>
        <w:rPr>
          <w:rFonts w:cs="Calibri" w:ascii="Calibri" w:hAnsi="Calibri"/>
          <w:sz w:val="24"/>
          <w:lang w:val="en-GB"/>
        </w:rPr>
        <w:t>Pupils will be taught that puberty is a normal part of growing up and that individuals experience changes at different times and in different ways. GOV.UK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7"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8. Additional Sex Education</w:t>
      </w:r>
    </w:p>
    <w:p>
      <w:pPr>
        <w:pStyle w:val="Normal"/>
        <w:spacing w:lineRule="auto" w:line="264"/>
        <w:rPr>
          <w:rFonts w:ascii="Calibri" w:hAnsi="Calibri" w:cs="Calibri"/>
          <w:sz w:val="24"/>
          <w:lang w:val="en-GB"/>
        </w:rPr>
      </w:pPr>
      <w:r>
        <w:rPr>
          <w:rFonts w:cs="Calibri" w:ascii="Calibri" w:hAnsi="Calibri"/>
          <w:sz w:val="24"/>
          <w:lang w:val="en-GB"/>
        </w:rPr>
        <w:t>Sex Education is not a statutory component of primary education.</w:t>
      </w:r>
    </w:p>
    <w:p>
      <w:pPr>
        <w:pStyle w:val="Normal"/>
        <w:spacing w:lineRule="auto" w:line="264"/>
        <w:rPr/>
      </w:pPr>
      <w:r>
        <w:rPr>
          <w:rFonts w:cs="Calibri" w:ascii="Calibri" w:hAnsi="Calibri"/>
          <w:sz w:val="24"/>
          <w:lang w:val="en-GB"/>
        </w:rPr>
        <w:t xml:space="preserve">At St John’s, the school provides a limited programme of additional Sex Education in </w:t>
      </w:r>
      <w:r>
        <w:rPr>
          <w:rFonts w:cs="Calibri" w:ascii="Calibri" w:hAnsi="Calibri"/>
          <w:b/>
          <w:bCs/>
          <w:sz w:val="24"/>
          <w:lang w:val="en-GB"/>
        </w:rPr>
        <w:t>Year 6</w:t>
      </w:r>
      <w:r>
        <w:rPr>
          <w:rFonts w:cs="Calibri" w:ascii="Calibri" w:hAnsi="Calibri"/>
          <w:sz w:val="24"/>
          <w:lang w:val="en-GB"/>
        </w:rPr>
        <w:t>, alongside and clearly distinguished from statutory Relationships Education and Science.</w:t>
      </w:r>
    </w:p>
    <w:p>
      <w:pPr>
        <w:pStyle w:val="Normal"/>
        <w:spacing w:lineRule="auto" w:line="264"/>
        <w:rPr>
          <w:rFonts w:ascii="Calibri" w:hAnsi="Calibri" w:cs="Calibri"/>
          <w:sz w:val="24"/>
          <w:lang w:val="en-GB"/>
        </w:rPr>
      </w:pPr>
      <w:r>
        <w:rPr>
          <w:rFonts w:cs="Calibri" w:ascii="Calibri" w:hAnsi="Calibri"/>
          <w:sz w:val="24"/>
          <w:lang w:val="en-GB"/>
        </w:rPr>
        <w:t>The additional programme will be age-appropriate and will complement the statutory Science curriculum.</w:t>
      </w:r>
    </w:p>
    <w:p>
      <w:pPr>
        <w:pStyle w:val="Normal"/>
        <w:spacing w:lineRule="auto" w:line="264"/>
        <w:rPr>
          <w:rFonts w:ascii="Calibri" w:hAnsi="Calibri" w:cs="Calibri"/>
          <w:sz w:val="24"/>
          <w:lang w:val="en-GB"/>
        </w:rPr>
      </w:pPr>
      <w:r>
        <w:rPr>
          <w:rFonts w:cs="Calibri" w:ascii="Calibri" w:hAnsi="Calibri"/>
          <w:sz w:val="24"/>
          <w:lang w:val="en-GB"/>
        </w:rPr>
        <w:t>It may include age-appropriate learning about:</w:t>
      </w:r>
    </w:p>
    <w:p>
      <w:pPr>
        <w:pStyle w:val="Normal"/>
        <w:numPr>
          <w:ilvl w:val="0"/>
          <w:numId w:val="24"/>
        </w:numPr>
        <w:spacing w:lineRule="auto" w:line="264"/>
        <w:rPr>
          <w:rFonts w:ascii="Calibri" w:hAnsi="Calibri" w:cs="Calibri"/>
          <w:sz w:val="24"/>
          <w:lang w:val="en-GB"/>
        </w:rPr>
      </w:pPr>
      <w:r>
        <w:rPr>
          <w:rFonts w:cs="Calibri" w:ascii="Calibri" w:hAnsi="Calibri"/>
          <w:sz w:val="24"/>
          <w:lang w:val="en-GB"/>
        </w:rPr>
        <w:t>conception;</w:t>
      </w:r>
    </w:p>
    <w:p>
      <w:pPr>
        <w:pStyle w:val="Normal"/>
        <w:numPr>
          <w:ilvl w:val="0"/>
          <w:numId w:val="24"/>
        </w:numPr>
        <w:spacing w:lineRule="auto" w:line="264"/>
        <w:rPr>
          <w:rFonts w:ascii="Calibri" w:hAnsi="Calibri" w:cs="Calibri"/>
          <w:sz w:val="24"/>
          <w:lang w:val="en-GB"/>
        </w:rPr>
      </w:pPr>
      <w:r>
        <w:rPr>
          <w:rFonts w:cs="Calibri" w:ascii="Calibri" w:hAnsi="Calibri"/>
          <w:sz w:val="24"/>
          <w:lang w:val="en-GB"/>
        </w:rPr>
        <w:t>how a baby begins to develop;</w:t>
      </w:r>
    </w:p>
    <w:p>
      <w:pPr>
        <w:pStyle w:val="Normal"/>
        <w:numPr>
          <w:ilvl w:val="0"/>
          <w:numId w:val="24"/>
        </w:numPr>
        <w:spacing w:lineRule="auto" w:line="264"/>
        <w:rPr>
          <w:rFonts w:ascii="Calibri" w:hAnsi="Calibri" w:cs="Calibri"/>
          <w:sz w:val="24"/>
          <w:lang w:val="en-GB"/>
        </w:rPr>
      </w:pPr>
      <w:r>
        <w:rPr>
          <w:rFonts w:cs="Calibri" w:ascii="Calibri" w:hAnsi="Calibri"/>
          <w:sz w:val="24"/>
          <w:lang w:val="en-GB"/>
        </w:rPr>
        <w:t>pregnancy and birth;</w:t>
      </w:r>
    </w:p>
    <w:p>
      <w:pPr>
        <w:pStyle w:val="Normal"/>
        <w:numPr>
          <w:ilvl w:val="0"/>
          <w:numId w:val="24"/>
        </w:numPr>
        <w:spacing w:lineRule="auto" w:line="264"/>
        <w:rPr>
          <w:rFonts w:ascii="Calibri" w:hAnsi="Calibri" w:cs="Calibri"/>
          <w:sz w:val="24"/>
          <w:lang w:val="en-GB"/>
        </w:rPr>
      </w:pPr>
      <w:r>
        <w:rPr>
          <w:rFonts w:cs="Calibri" w:ascii="Calibri" w:hAnsi="Calibri"/>
          <w:sz w:val="24"/>
          <w:lang w:val="en-GB"/>
        </w:rPr>
        <w:t>the physical and emotional aspects of growing up;</w:t>
      </w:r>
    </w:p>
    <w:p>
      <w:pPr>
        <w:pStyle w:val="Normal"/>
        <w:numPr>
          <w:ilvl w:val="0"/>
          <w:numId w:val="24"/>
        </w:numPr>
        <w:spacing w:lineRule="auto" w:line="264"/>
        <w:rPr>
          <w:rFonts w:ascii="Calibri" w:hAnsi="Calibri" w:cs="Calibri"/>
          <w:sz w:val="24"/>
          <w:lang w:val="en-GB"/>
        </w:rPr>
      </w:pPr>
      <w:r>
        <w:rPr>
          <w:rFonts w:cs="Calibri" w:ascii="Calibri" w:hAnsi="Calibri"/>
          <w:sz w:val="24"/>
          <w:lang w:val="en-GB"/>
        </w:rPr>
        <w:t>respectful relationships and personal responsibility.</w:t>
      </w:r>
    </w:p>
    <w:p>
      <w:pPr>
        <w:pStyle w:val="Normal"/>
        <w:spacing w:lineRule="auto" w:line="264"/>
        <w:rPr>
          <w:rFonts w:ascii="Calibri" w:hAnsi="Calibri" w:cs="Calibri"/>
          <w:sz w:val="24"/>
          <w:lang w:val="en-GB"/>
        </w:rPr>
      </w:pPr>
      <w:r>
        <w:rPr>
          <w:rFonts w:cs="Calibri" w:ascii="Calibri" w:hAnsi="Calibri"/>
          <w:sz w:val="24"/>
          <w:lang w:val="en-GB"/>
        </w:rPr>
        <w:t>The school will ensure that any additional Sex Education is clearly identified to parents before it is taught.</w:t>
      </w:r>
    </w:p>
    <w:p>
      <w:pPr>
        <w:pStyle w:val="Normal"/>
        <w:spacing w:lineRule="auto" w:line="264"/>
        <w:rPr/>
      </w:pPr>
      <w:r>
        <w:rPr>
          <w:rFonts w:cs="Calibri" w:ascii="Calibri" w:hAnsi="Calibri"/>
          <w:sz w:val="24"/>
          <w:lang w:val="en-GB"/>
        </w:rPr>
        <w:t xml:space="preserve">The DfE recommends that primary schools consider teaching sex education in Years 5 and/or 6 alongside the Science curriculum content relating to conception and birth.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8"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9. Questions and sensitive discussions</w:t>
      </w:r>
    </w:p>
    <w:p>
      <w:pPr>
        <w:pStyle w:val="Normal"/>
        <w:spacing w:lineRule="auto" w:line="264"/>
        <w:rPr/>
      </w:pPr>
      <w:r>
        <w:rPr>
          <w:rFonts w:cs="Calibri" w:ascii="Calibri" w:hAnsi="Calibri"/>
          <w:sz w:val="24"/>
          <w:lang w:val="en-GB"/>
        </w:rPr>
        <w:t>We recognise that pupils may ask questions during Relationships Education, Science or Sex Education.</w:t>
      </w:r>
    </w:p>
    <w:p>
      <w:pPr>
        <w:pStyle w:val="Normal"/>
        <w:spacing w:lineRule="auto" w:line="264"/>
        <w:rPr>
          <w:rFonts w:ascii="Calibri" w:hAnsi="Calibri" w:cs="Calibri"/>
          <w:sz w:val="24"/>
          <w:lang w:val="en-GB"/>
        </w:rPr>
      </w:pPr>
      <w:r>
        <w:rPr>
          <w:rFonts w:cs="Calibri" w:ascii="Calibri" w:hAnsi="Calibri"/>
          <w:sz w:val="24"/>
          <w:lang w:val="en-GB"/>
        </w:rPr>
        <w:t>Teachers will respond in a way that is:</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honest;</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age and stage appropriate;</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medically and factually accurate where appropriate;</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consistent with this policy;</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sensitive to pupils' individual circumstances;</w:t>
      </w:r>
    </w:p>
    <w:p>
      <w:pPr>
        <w:pStyle w:val="Normal"/>
        <w:numPr>
          <w:ilvl w:val="0"/>
          <w:numId w:val="33"/>
        </w:numPr>
        <w:spacing w:lineRule="auto" w:line="264"/>
        <w:rPr>
          <w:rFonts w:ascii="Calibri" w:hAnsi="Calibri" w:cs="Calibri"/>
          <w:sz w:val="24"/>
          <w:lang w:val="en-GB"/>
        </w:rPr>
      </w:pPr>
      <w:r>
        <w:rPr>
          <w:rFonts w:cs="Calibri" w:ascii="Calibri" w:hAnsi="Calibri"/>
          <w:sz w:val="24"/>
          <w:lang w:val="en-GB"/>
        </w:rPr>
        <w:t>mindful of safeguarding considerations.</w:t>
      </w:r>
    </w:p>
    <w:p>
      <w:pPr>
        <w:pStyle w:val="Normal"/>
        <w:spacing w:lineRule="auto" w:line="264"/>
        <w:rPr>
          <w:rFonts w:ascii="Calibri" w:hAnsi="Calibri" w:cs="Calibri"/>
          <w:sz w:val="24"/>
          <w:lang w:val="en-GB"/>
        </w:rPr>
      </w:pPr>
      <w:r>
        <w:rPr>
          <w:rFonts w:cs="Calibri" w:ascii="Calibri" w:hAnsi="Calibri"/>
          <w:sz w:val="24"/>
          <w:lang w:val="en-GB"/>
        </w:rPr>
        <w:t>Teachers will not be expected to answer questions that fall outside the school's curriculum.</w:t>
      </w:r>
    </w:p>
    <w:p>
      <w:pPr>
        <w:pStyle w:val="Normal"/>
        <w:spacing w:lineRule="auto" w:line="264"/>
        <w:rPr/>
      </w:pPr>
      <w:r>
        <w:rPr>
          <w:rFonts w:cs="Calibri" w:ascii="Calibri" w:hAnsi="Calibri"/>
          <w:sz w:val="24"/>
          <w:lang w:val="en-GB"/>
        </w:rPr>
        <w:t>Where a question concerns content that the school does not teach, the teacher may explain that it is not covered by the school's curriculum and, where appropriate, direct the pupil towards a trusted adult or appropriate source of support.</w:t>
      </w:r>
    </w:p>
    <w:p>
      <w:pPr>
        <w:pStyle w:val="Normal"/>
        <w:spacing w:lineRule="auto" w:line="264"/>
        <w:rPr>
          <w:rFonts w:ascii="Calibri" w:hAnsi="Calibri" w:cs="Calibri"/>
          <w:sz w:val="24"/>
          <w:lang w:val="en-GB"/>
        </w:rPr>
      </w:pPr>
      <w:r>
        <w:rPr>
          <w:rFonts w:cs="Calibri" w:ascii="Calibri" w:hAnsi="Calibri"/>
          <w:sz w:val="24"/>
          <w:lang w:val="en-GB"/>
        </w:rPr>
        <w:t>Teachers will never deliberately provide pupils with inappropriate or unnecessarily explicit information.</w:t>
      </w:r>
    </w:p>
    <w:p>
      <w:pPr>
        <w:pStyle w:val="Normal"/>
        <w:spacing w:lineRule="auto" w:line="264"/>
        <w:rPr>
          <w:rFonts w:ascii="Calibri" w:hAnsi="Calibri" w:cs="Calibri"/>
          <w:sz w:val="24"/>
          <w:lang w:val="en-GB"/>
        </w:rPr>
      </w:pPr>
      <w:r>
        <w:rPr>
          <w:rFonts w:cs="Calibri" w:ascii="Calibri" w:hAnsi="Calibri"/>
          <w:sz w:val="24"/>
          <w:lang w:val="en-GB"/>
        </w:rPr>
        <w:t>Where a question raises a safeguarding concern, it will be dealt with in accordance with the school's Safeguarding and Child Protection Policy.</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9"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10. Equality, diversity and inclusion</w:t>
      </w:r>
    </w:p>
    <w:p>
      <w:pPr>
        <w:pStyle w:val="Normal"/>
        <w:spacing w:lineRule="auto" w:line="264"/>
        <w:rPr>
          <w:rFonts w:ascii="Calibri" w:hAnsi="Calibri" w:cs="Calibri"/>
          <w:sz w:val="24"/>
          <w:lang w:val="en-GB"/>
        </w:rPr>
      </w:pPr>
      <w:r>
        <w:rPr>
          <w:rFonts w:cs="Calibri" w:ascii="Calibri" w:hAnsi="Calibri"/>
          <w:sz w:val="24"/>
          <w:lang w:val="en-GB"/>
        </w:rPr>
        <w:t>The school will comply with the Equality Act 2010 and the Public Sector Equality Duty when delivering Relationships Education.</w:t>
      </w:r>
    </w:p>
    <w:p>
      <w:pPr>
        <w:pStyle w:val="Normal"/>
        <w:spacing w:lineRule="auto" w:line="264"/>
        <w:rPr/>
      </w:pPr>
      <w:r>
        <w:rPr>
          <w:rFonts w:cs="Calibri" w:ascii="Calibri" w:hAnsi="Calibri"/>
          <w:sz w:val="24"/>
          <w:lang w:val="en-GB"/>
        </w:rPr>
        <w:t>Teaching will promote equality, respect and dignity and will not discriminate against or harass pupils.</w:t>
      </w:r>
    </w:p>
    <w:p>
      <w:pPr>
        <w:pStyle w:val="Normal"/>
        <w:spacing w:lineRule="auto" w:line="264"/>
        <w:rPr>
          <w:rFonts w:ascii="Calibri" w:hAnsi="Calibri" w:cs="Calibri"/>
          <w:sz w:val="24"/>
          <w:lang w:val="en-GB"/>
        </w:rPr>
      </w:pPr>
      <w:r>
        <w:rPr>
          <w:rFonts w:cs="Calibri" w:ascii="Calibri" w:hAnsi="Calibri"/>
          <w:sz w:val="24"/>
          <w:lang w:val="en-GB"/>
        </w:rPr>
        <w:t>Pupils will learn to respect people who may be different from themselves, including differences relating to disability, race, religion or belief, sex, sexual orientation and other protected characteristics.</w:t>
      </w:r>
    </w:p>
    <w:p>
      <w:pPr>
        <w:pStyle w:val="Normal"/>
        <w:spacing w:lineRule="auto" w:line="264"/>
        <w:rPr>
          <w:rFonts w:ascii="Calibri" w:hAnsi="Calibri" w:cs="Calibri"/>
          <w:sz w:val="24"/>
          <w:lang w:val="en-GB"/>
        </w:rPr>
      </w:pPr>
      <w:r>
        <w:rPr>
          <w:rFonts w:cs="Calibri" w:ascii="Calibri" w:hAnsi="Calibri"/>
          <w:sz w:val="24"/>
          <w:lang w:val="en-GB"/>
        </w:rPr>
        <w:t>The DfE guidance strongly encourages primary schools to teach about healthy loving relationships and to include same-sex parents alongside other family arrangements when discussing families. GOV.UK</w:t>
      </w:r>
    </w:p>
    <w:p>
      <w:pPr>
        <w:pStyle w:val="Normal"/>
        <w:spacing w:lineRule="auto" w:line="264"/>
        <w:rPr/>
      </w:pPr>
      <w:r>
        <w:rPr>
          <w:rFonts w:cs="Calibri" w:ascii="Calibri" w:hAnsi="Calibri"/>
          <w:sz w:val="24"/>
          <w:lang w:val="en-GB"/>
        </w:rPr>
        <w:t>The school will ensure that examples and resources reflect the range of families and relationships that pupils may encounter.</w:t>
      </w:r>
    </w:p>
    <w:p>
      <w:pPr>
        <w:pStyle w:val="Normal"/>
        <w:spacing w:lineRule="auto" w:line="264"/>
        <w:rPr/>
      </w:pPr>
      <w:r>
        <w:rPr>
          <w:rFonts w:cs="Calibri" w:ascii="Calibri" w:hAnsi="Calibri"/>
          <w:sz w:val="24"/>
          <w:lang w:val="en-GB"/>
        </w:rPr>
        <w:t xml:space="preserve">Where questions concerning biological sex, gender reassignment or related matters arise, teaching will be age-appropriate, factual and respectful. The school will distinguish between established facts and law and matters that are contested or subject to wider debate. Teaching will not present a contested view as established fact. </w:t>
      </w:r>
      <w:r>
        <w:rPr>
          <w:rFonts w:cs="Calibri" w:ascii="Calibri" w:hAnsi="Calibri"/>
          <w:b/>
          <w:bCs/>
          <w:sz w:val="24"/>
          <w:lang w:val="en-GB"/>
        </w:rPr>
        <w:t>G</w:t>
      </w:r>
      <w:r>
        <w:rPr>
          <w:rFonts w:cs="Calibri" w:ascii="Calibri" w:hAnsi="Calibri"/>
          <w:sz w:val="24"/>
          <w:lang w:val="en-GB"/>
        </w:rPr>
        <w:t>OV.UK</w:t>
      </w:r>
    </w:p>
    <w:p>
      <w:pPr>
        <w:pStyle w:val="Normal"/>
        <w:spacing w:lineRule="auto" w:line="264"/>
        <w:rPr/>
      </w:pPr>
      <w:r>
        <w:rPr>
          <w:rFonts w:cs="Calibri" w:ascii="Calibri" w:hAnsi="Calibri"/>
          <w:sz w:val="24"/>
          <w:lang w:val="en-GB"/>
        </w:rPr>
        <w:t>The school will ensure that pupils with the protected characteristic of gender reassignment, as with pupils with other protected characteristics, are treated with dignity and protected from discrimination and bullying.</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0"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11. Christian ethos and religious belief</w:t>
      </w:r>
    </w:p>
    <w:p>
      <w:pPr>
        <w:pStyle w:val="Normal"/>
        <w:spacing w:lineRule="auto" w:line="264"/>
        <w:rPr>
          <w:rFonts w:ascii="Calibri" w:hAnsi="Calibri" w:cs="Calibri"/>
          <w:sz w:val="24"/>
          <w:lang w:val="en-GB"/>
        </w:rPr>
      </w:pPr>
      <w:r>
        <w:rPr>
          <w:rFonts w:cs="Calibri" w:ascii="Calibri" w:hAnsi="Calibri"/>
          <w:sz w:val="24"/>
          <w:lang w:val="en-GB"/>
        </w:rPr>
        <w:t>St John’s is a Christian school and Relationships Education will be taught within the school's Christian ethos.</w:t>
      </w:r>
    </w:p>
    <w:p>
      <w:pPr>
        <w:pStyle w:val="Normal"/>
        <w:spacing w:lineRule="auto" w:line="264"/>
        <w:rPr/>
      </w:pPr>
      <w:r>
        <w:rPr>
          <w:rFonts w:cs="Calibri" w:ascii="Calibri" w:hAnsi="Calibri"/>
          <w:sz w:val="24"/>
          <w:lang w:val="en-GB"/>
        </w:rPr>
        <w:t>The school's values of compassion, forgiveness, trust, tolerance, honesty, integrity, courage, humility, kindness, generosity and justice will underpin teaching and relationships throughout the school.</w:t>
      </w:r>
    </w:p>
    <w:p>
      <w:pPr>
        <w:pStyle w:val="Normal"/>
        <w:spacing w:lineRule="auto" w:line="264"/>
        <w:rPr>
          <w:rFonts w:ascii="Calibri" w:hAnsi="Calibri" w:cs="Calibri"/>
          <w:sz w:val="24"/>
          <w:lang w:val="en-GB"/>
        </w:rPr>
      </w:pPr>
      <w:r>
        <w:rPr>
          <w:rFonts w:cs="Calibri" w:ascii="Calibri" w:hAnsi="Calibri"/>
          <w:sz w:val="24"/>
          <w:lang w:val="en-GB"/>
        </w:rPr>
        <w:t>Teaching will respect pupils' religious and cultural backgrounds.</w:t>
      </w:r>
    </w:p>
    <w:p>
      <w:pPr>
        <w:pStyle w:val="Normal"/>
        <w:spacing w:lineRule="auto" w:line="264"/>
        <w:rPr>
          <w:rFonts w:ascii="Calibri" w:hAnsi="Calibri" w:cs="Calibri"/>
          <w:sz w:val="24"/>
          <w:lang w:val="en-GB"/>
        </w:rPr>
      </w:pPr>
      <w:r>
        <w:rPr>
          <w:rFonts w:cs="Calibri" w:ascii="Calibri" w:hAnsi="Calibri"/>
          <w:sz w:val="24"/>
          <w:lang w:val="en-GB"/>
        </w:rPr>
        <w:t>The school may draw upon Christian teaching and the school's distinctive ethos when considering relationships, family life, responsibility, dignity, respect, compassion and forgiveness.</w:t>
      </w:r>
    </w:p>
    <w:p>
      <w:pPr>
        <w:pStyle w:val="Normal"/>
        <w:spacing w:lineRule="auto" w:line="264"/>
        <w:rPr>
          <w:rFonts w:ascii="Calibri" w:hAnsi="Calibri" w:cs="Calibri"/>
          <w:sz w:val="24"/>
          <w:lang w:val="en-GB"/>
        </w:rPr>
      </w:pPr>
      <w:r>
        <w:rPr>
          <w:rFonts w:cs="Calibri" w:ascii="Calibri" w:hAnsi="Calibri"/>
          <w:sz w:val="24"/>
          <w:lang w:val="en-GB"/>
        </w:rPr>
        <w:t>Where religious beliefs or perspectives are discussed, teachers will make clear where these represent a particular religious belief or perspective and will not present such beliefs as established factual claims where they are matters of faith.</w:t>
      </w:r>
    </w:p>
    <w:p>
      <w:pPr>
        <w:pStyle w:val="Normal"/>
        <w:spacing w:lineRule="auto" w:line="264"/>
        <w:rPr/>
      </w:pPr>
      <w:r>
        <w:rPr>
          <w:rFonts w:cs="Calibri" w:ascii="Calibri" w:hAnsi="Calibri"/>
          <w:sz w:val="24"/>
          <w:lang w:val="en-GB"/>
        </w:rPr>
        <w:t xml:space="preserve">The statutory requirement to provide Relationships Education remains in place for maintained schools, including schools with a religious character. </w:t>
      </w:r>
      <w:r>
        <w:rPr>
          <w:rFonts w:cs="Calibri" w:ascii="Calibri" w:hAnsi="Calibri"/>
          <w:b/>
          <w:bCs/>
          <w:sz w:val="24"/>
          <w:lang w:val="en-GB"/>
        </w:rPr>
        <w:t>L</w:t>
      </w:r>
      <w:r>
        <w:rPr>
          <w:rFonts w:cs="Calibri" w:ascii="Calibri" w:hAnsi="Calibri"/>
          <w:sz w:val="24"/>
          <w:lang w:val="en-GB"/>
        </w:rPr>
        <w:t>egislation.gov.uk+1</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1"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12. Pupils with SEND</w:t>
      </w:r>
    </w:p>
    <w:p>
      <w:pPr>
        <w:pStyle w:val="Normal"/>
        <w:spacing w:lineRule="auto" w:line="264"/>
        <w:rPr>
          <w:rFonts w:ascii="Calibri" w:hAnsi="Calibri" w:cs="Calibri"/>
          <w:sz w:val="24"/>
          <w:lang w:val="en-GB"/>
        </w:rPr>
      </w:pPr>
      <w:r>
        <w:rPr>
          <w:rFonts w:cs="Calibri" w:ascii="Calibri" w:hAnsi="Calibri"/>
          <w:sz w:val="24"/>
          <w:lang w:val="en-GB"/>
        </w:rPr>
        <w:t>The school recognises that pupils with SEND may have particular needs in relation to Relationships Education, health, safety and safeguarding.</w:t>
      </w:r>
    </w:p>
    <w:p>
      <w:pPr>
        <w:pStyle w:val="Normal"/>
        <w:spacing w:lineRule="auto" w:line="264"/>
        <w:rPr>
          <w:rFonts w:ascii="Calibri" w:hAnsi="Calibri" w:cs="Calibri"/>
          <w:sz w:val="24"/>
          <w:lang w:val="en-GB"/>
        </w:rPr>
      </w:pPr>
      <w:r>
        <w:rPr>
          <w:rFonts w:cs="Calibri" w:ascii="Calibri" w:hAnsi="Calibri"/>
          <w:sz w:val="24"/>
          <w:lang w:val="en-GB"/>
        </w:rPr>
        <w:t>Teaching will therefore be adapted appropriately through:</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differentiated language;</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visual and concrete resources;</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repetition and reinforcement;</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additional explanation;</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appropriate communication strategies;</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additional adult support where required;</w:t>
      </w:r>
    </w:p>
    <w:p>
      <w:pPr>
        <w:pStyle w:val="Normal"/>
        <w:numPr>
          <w:ilvl w:val="0"/>
          <w:numId w:val="25"/>
        </w:numPr>
        <w:spacing w:lineRule="auto" w:line="264"/>
        <w:rPr>
          <w:rFonts w:ascii="Calibri" w:hAnsi="Calibri" w:cs="Calibri"/>
          <w:sz w:val="24"/>
          <w:lang w:val="en-GB"/>
        </w:rPr>
      </w:pPr>
      <w:r>
        <w:rPr>
          <w:rFonts w:cs="Calibri" w:ascii="Calibri" w:hAnsi="Calibri"/>
          <w:sz w:val="24"/>
          <w:lang w:val="en-GB"/>
        </w:rPr>
        <w:t>consideration of individual needs and vulnerabilities.</w:t>
      </w:r>
    </w:p>
    <w:p>
      <w:pPr>
        <w:pStyle w:val="Normal"/>
        <w:spacing w:lineRule="auto" w:line="264"/>
        <w:rPr>
          <w:rFonts w:ascii="Calibri" w:hAnsi="Calibri" w:cs="Calibri"/>
          <w:sz w:val="24"/>
          <w:lang w:val="en-GB"/>
        </w:rPr>
      </w:pPr>
      <w:r>
        <w:rPr>
          <w:rFonts w:cs="Calibri" w:ascii="Calibri" w:hAnsi="Calibri"/>
          <w:sz w:val="24"/>
          <w:lang w:val="en-GB"/>
        </w:rPr>
        <w:t>All pupils should have access to the statutory curriculum. Adaptation should support access to learning rather than unnecessarily remove pupils from statutory content.</w:t>
      </w:r>
    </w:p>
    <w:p>
      <w:pPr>
        <w:pStyle w:val="Normal"/>
        <w:spacing w:lineRule="auto" w:line="264"/>
        <w:rPr/>
      </w:pPr>
      <w:r>
        <w:rPr>
          <w:rFonts w:cs="Calibri" w:ascii="Calibri" w:hAnsi="Calibri"/>
          <w:sz w:val="24"/>
          <w:lang w:val="en-GB"/>
        </w:rPr>
        <w:t xml:space="preserve">The school will have regard to the SEND Code of Practice and the DfE RSHE guidance when planning provision.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2"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13. Parents' right to withdraw</w:t>
      </w:r>
    </w:p>
    <w:p>
      <w:pPr>
        <w:pStyle w:val="Normal"/>
        <w:spacing w:lineRule="auto" w:line="264"/>
        <w:rPr/>
      </w:pPr>
      <w:r>
        <w:rPr>
          <w:rFonts w:cs="Calibri" w:ascii="Calibri" w:hAnsi="Calibri"/>
          <w:sz w:val="24"/>
          <w:lang w:val="en-GB"/>
        </w:rPr>
        <w:t xml:space="preserve">Parents do </w:t>
      </w:r>
      <w:r>
        <w:rPr>
          <w:rFonts w:cs="Calibri" w:ascii="Calibri" w:hAnsi="Calibri"/>
          <w:b/>
          <w:bCs/>
          <w:sz w:val="24"/>
          <w:lang w:val="en-GB"/>
        </w:rPr>
        <w:t>not</w:t>
      </w:r>
      <w:r>
        <w:rPr>
          <w:rFonts w:cs="Calibri" w:ascii="Calibri" w:hAnsi="Calibri"/>
          <w:sz w:val="24"/>
          <w:lang w:val="en-GB"/>
        </w:rPr>
        <w:t xml:space="preserve"> have the right to withdraw their child from:</w:t>
      </w:r>
    </w:p>
    <w:p>
      <w:pPr>
        <w:pStyle w:val="Normal"/>
        <w:numPr>
          <w:ilvl w:val="0"/>
          <w:numId w:val="29"/>
        </w:numPr>
        <w:spacing w:lineRule="auto" w:line="264"/>
        <w:rPr>
          <w:rFonts w:ascii="Calibri" w:hAnsi="Calibri" w:cs="Calibri"/>
          <w:sz w:val="24"/>
          <w:lang w:val="en-GB"/>
        </w:rPr>
      </w:pPr>
      <w:r>
        <w:rPr>
          <w:rFonts w:cs="Calibri" w:ascii="Calibri" w:hAnsi="Calibri"/>
          <w:sz w:val="24"/>
          <w:lang w:val="en-GB"/>
        </w:rPr>
        <w:t>statutory Relationships Education;</w:t>
      </w:r>
    </w:p>
    <w:p>
      <w:pPr>
        <w:pStyle w:val="Normal"/>
        <w:numPr>
          <w:ilvl w:val="0"/>
          <w:numId w:val="29"/>
        </w:numPr>
        <w:spacing w:lineRule="auto" w:line="264"/>
        <w:rPr>
          <w:rFonts w:ascii="Calibri" w:hAnsi="Calibri" w:cs="Calibri"/>
          <w:sz w:val="24"/>
          <w:lang w:val="en-GB"/>
        </w:rPr>
      </w:pPr>
      <w:r>
        <w:rPr>
          <w:rFonts w:cs="Calibri" w:ascii="Calibri" w:hAnsi="Calibri"/>
          <w:sz w:val="24"/>
          <w:lang w:val="en-GB"/>
        </w:rPr>
        <w:t>statutory Health Education;</w:t>
      </w:r>
    </w:p>
    <w:p>
      <w:pPr>
        <w:pStyle w:val="Normal"/>
        <w:numPr>
          <w:ilvl w:val="0"/>
          <w:numId w:val="29"/>
        </w:numPr>
        <w:spacing w:lineRule="auto" w:line="264"/>
        <w:rPr>
          <w:rFonts w:ascii="Calibri" w:hAnsi="Calibri" w:cs="Calibri"/>
          <w:sz w:val="24"/>
          <w:lang w:val="en-GB"/>
        </w:rPr>
      </w:pPr>
      <w:r>
        <w:rPr>
          <w:rFonts w:cs="Calibri" w:ascii="Calibri" w:hAnsi="Calibri"/>
          <w:sz w:val="24"/>
          <w:lang w:val="en-GB"/>
        </w:rPr>
        <w:t>statutory National Curriculum Science, including relevant teaching about puberty and human reproduction.</w:t>
      </w:r>
    </w:p>
    <w:p>
      <w:pPr>
        <w:pStyle w:val="Normal"/>
        <w:spacing w:lineRule="auto" w:line="264"/>
        <w:rPr/>
      </w:pPr>
      <w:r>
        <w:rPr>
          <w:rFonts w:cs="Calibri" w:ascii="Calibri" w:hAnsi="Calibri"/>
          <w:sz w:val="24"/>
          <w:lang w:val="en-GB"/>
        </w:rPr>
        <w:t xml:space="preserve">Parents </w:t>
      </w:r>
      <w:r>
        <w:rPr>
          <w:rFonts w:cs="Calibri" w:ascii="Calibri" w:hAnsi="Calibri"/>
          <w:b/>
          <w:bCs/>
          <w:sz w:val="24"/>
          <w:lang w:val="en-GB"/>
        </w:rPr>
        <w:t>do have the right to request that their child is withdrawn from additional Sex Education provided by the school at primary level</w:t>
      </w:r>
      <w:r>
        <w:rPr>
          <w:rFonts w:cs="Calibri" w:ascii="Calibri" w:hAnsi="Calibri"/>
          <w:sz w:val="24"/>
          <w:lang w:val="en-GB"/>
        </w:rPr>
        <w:t>.</w:t>
      </w:r>
    </w:p>
    <w:p>
      <w:pPr>
        <w:pStyle w:val="Normal"/>
        <w:spacing w:lineRule="auto" w:line="264"/>
        <w:rPr>
          <w:rFonts w:ascii="Calibri" w:hAnsi="Calibri" w:cs="Calibri"/>
          <w:sz w:val="24"/>
          <w:lang w:val="en-GB"/>
        </w:rPr>
      </w:pPr>
      <w:r>
        <w:rPr>
          <w:rFonts w:cs="Calibri" w:ascii="Calibri" w:hAnsi="Calibri"/>
          <w:sz w:val="24"/>
          <w:lang w:val="en-GB"/>
        </w:rPr>
        <w:t>Where a parent requests withdrawal, the Headteacher will grant the request in relation to additional Sex Education, except for content that forms part of the statutory Science curriculum.</w:t>
      </w:r>
    </w:p>
    <w:p>
      <w:pPr>
        <w:pStyle w:val="Normal"/>
        <w:spacing w:lineRule="auto" w:line="264"/>
        <w:rPr/>
      </w:pPr>
      <w:r>
        <w:rPr>
          <w:rFonts w:cs="Calibri" w:ascii="Calibri" w:hAnsi="Calibri"/>
          <w:sz w:val="24"/>
          <w:lang w:val="en-GB"/>
        </w:rPr>
        <w:t>Before a withdrawal takes place, it is good practice for the Headteacher to discuss the request with the parent and, where appropriate, the pupil. This may include explaining the purpose and benefits of the education and any potential implications of withdrawal.</w:t>
      </w:r>
    </w:p>
    <w:p>
      <w:pPr>
        <w:pStyle w:val="Normal"/>
        <w:spacing w:lineRule="auto" w:line="264"/>
        <w:rPr>
          <w:rFonts w:ascii="Calibri" w:hAnsi="Calibri" w:cs="Calibri"/>
          <w:sz w:val="24"/>
          <w:lang w:val="en-GB"/>
        </w:rPr>
      </w:pPr>
      <w:r>
        <w:rPr>
          <w:rFonts w:cs="Calibri" w:ascii="Calibri" w:hAnsi="Calibri"/>
          <w:sz w:val="24"/>
          <w:lang w:val="en-GB"/>
        </w:rPr>
        <w:t>The school will keep a record of withdrawal requests and discussions.</w:t>
      </w:r>
    </w:p>
    <w:p>
      <w:pPr>
        <w:pStyle w:val="Normal"/>
        <w:spacing w:lineRule="auto" w:line="264"/>
        <w:rPr>
          <w:rFonts w:ascii="Calibri" w:hAnsi="Calibri" w:cs="Calibri"/>
          <w:sz w:val="24"/>
          <w:lang w:val="en-GB"/>
        </w:rPr>
      </w:pPr>
      <w:r>
        <w:rPr>
          <w:rFonts w:cs="Calibri" w:ascii="Calibri" w:hAnsi="Calibri"/>
          <w:sz w:val="24"/>
          <w:lang w:val="en-GB"/>
        </w:rPr>
        <w:t>Where a pupil is withdrawn from additional Sex Education, the school will provide appropriate and purposeful education during the period of withdrawal.</w:t>
      </w:r>
    </w:p>
    <w:p>
      <w:pPr>
        <w:pStyle w:val="Normal"/>
        <w:spacing w:lineRule="auto" w:line="264"/>
        <w:rPr/>
      </w:pPr>
      <w:r>
        <w:rPr>
          <w:rFonts w:cs="Calibri" w:ascii="Calibri" w:hAnsi="Calibri"/>
          <w:sz w:val="24"/>
          <w:lang w:val="en-GB"/>
        </w:rPr>
        <w:t>Requests for withdrawal should be made in writing to the Headteacher. The school's withdrawal request form is available from the school office and will be provided to parents on request.</w:t>
      </w:r>
    </w:p>
    <w:p>
      <w:pPr>
        <w:pStyle w:val="Normal"/>
        <w:spacing w:lineRule="auto" w:line="264"/>
        <w:rPr/>
      </w:pPr>
      <w:r>
        <w:rPr>
          <w:rFonts w:cs="Calibri" w:ascii="Calibri" w:hAnsi="Calibri"/>
          <w:sz w:val="24"/>
          <w:lang w:val="en-GB"/>
        </w:rPr>
        <w:t xml:space="preserve">Parents will be informed clearly which elements of the curriculum constitute statutory Science, Relationships Education and additional Sex Education.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3"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14. Parent consultation and communication</w:t>
      </w:r>
    </w:p>
    <w:p>
      <w:pPr>
        <w:pStyle w:val="Normal"/>
        <w:spacing w:lineRule="auto" w:line="264"/>
        <w:rPr>
          <w:rFonts w:ascii="Calibri" w:hAnsi="Calibri" w:cs="Calibri"/>
          <w:sz w:val="24"/>
          <w:lang w:val="en-GB"/>
        </w:rPr>
      </w:pPr>
      <w:r>
        <w:rPr>
          <w:rFonts w:cs="Calibri" w:ascii="Calibri" w:hAnsi="Calibri"/>
          <w:sz w:val="24"/>
          <w:lang w:val="en-GB"/>
        </w:rPr>
        <w:t>Parents and carers are recognised as important partners in their children's education.</w:t>
      </w:r>
    </w:p>
    <w:p>
      <w:pPr>
        <w:pStyle w:val="Normal"/>
        <w:spacing w:lineRule="auto" w:line="264"/>
        <w:rPr>
          <w:rFonts w:ascii="Calibri" w:hAnsi="Calibri" w:cs="Calibri"/>
          <w:sz w:val="24"/>
          <w:lang w:val="en-GB"/>
        </w:rPr>
      </w:pPr>
      <w:r>
        <w:rPr>
          <w:rFonts w:cs="Calibri" w:ascii="Calibri" w:hAnsi="Calibri"/>
          <w:sz w:val="24"/>
          <w:lang w:val="en-GB"/>
        </w:rPr>
        <w:t>The school will proactively engage and consult parents when developing and reviewing this policy.</w:t>
      </w:r>
    </w:p>
    <w:p>
      <w:pPr>
        <w:pStyle w:val="Normal"/>
        <w:spacing w:lineRule="auto" w:line="264"/>
        <w:rPr/>
      </w:pPr>
      <w:r>
        <w:rPr>
          <w:rFonts w:cs="Calibri" w:ascii="Calibri" w:hAnsi="Calibri"/>
          <w:sz w:val="24"/>
          <w:lang w:val="en-GB"/>
        </w:rPr>
        <w:t>Parents will be informed about:</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the content and purpose of Relationships Education;</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any additional Sex Education;</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when sensitive content is likely to be taught;</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relevant curriculum resources;</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their right to request withdrawal from additional primary Sex Education;</w:t>
      </w:r>
    </w:p>
    <w:p>
      <w:pPr>
        <w:pStyle w:val="Normal"/>
        <w:numPr>
          <w:ilvl w:val="0"/>
          <w:numId w:val="17"/>
        </w:numPr>
        <w:spacing w:lineRule="auto" w:line="264"/>
        <w:rPr>
          <w:rFonts w:ascii="Calibri" w:hAnsi="Calibri" w:cs="Calibri"/>
          <w:sz w:val="24"/>
          <w:lang w:val="en-GB"/>
        </w:rPr>
      </w:pPr>
      <w:r>
        <w:rPr>
          <w:rFonts w:cs="Calibri" w:ascii="Calibri" w:hAnsi="Calibri"/>
          <w:sz w:val="24"/>
          <w:lang w:val="en-GB"/>
        </w:rPr>
        <w:t>how they can discuss concerns or ask questions.</w:t>
      </w:r>
    </w:p>
    <w:p>
      <w:pPr>
        <w:pStyle w:val="Normal"/>
        <w:spacing w:lineRule="auto" w:line="264"/>
        <w:rPr>
          <w:rFonts w:ascii="Calibri" w:hAnsi="Calibri" w:cs="Calibri"/>
          <w:sz w:val="24"/>
          <w:lang w:val="en-GB"/>
        </w:rPr>
      </w:pPr>
      <w:r>
        <w:rPr>
          <w:rFonts w:cs="Calibri" w:ascii="Calibri" w:hAnsi="Calibri"/>
          <w:sz w:val="24"/>
          <w:lang w:val="en-GB"/>
        </w:rPr>
        <w:t>Parents will be encouraged to continue appropriate conversations at home.</w:t>
      </w:r>
    </w:p>
    <w:p>
      <w:pPr>
        <w:pStyle w:val="Normal"/>
        <w:spacing w:lineRule="auto" w:line="264"/>
        <w:rPr/>
      </w:pPr>
      <w:r>
        <w:rPr>
          <w:rFonts w:cs="Calibri" w:ascii="Calibri" w:hAnsi="Calibri"/>
          <w:sz w:val="24"/>
          <w:lang w:val="en-GB"/>
        </w:rPr>
        <w:t>The school will provide a representative sample of resources used in RSHE and will enable parents to view all curriculum materials used to teach RSHE on request.</w:t>
      </w:r>
    </w:p>
    <w:p>
      <w:pPr>
        <w:pStyle w:val="Normal"/>
        <w:spacing w:lineRule="auto" w:line="264"/>
        <w:rPr>
          <w:rFonts w:ascii="Calibri" w:hAnsi="Calibri" w:cs="Calibri"/>
          <w:sz w:val="24"/>
          <w:lang w:val="en-GB"/>
        </w:rPr>
      </w:pPr>
      <w:r>
        <w:rPr>
          <w:rFonts w:cs="Calibri" w:ascii="Calibri" w:hAnsi="Calibri"/>
          <w:sz w:val="24"/>
          <w:lang w:val="en-GB"/>
        </w:rPr>
        <w:t>Parents may express views and concerns, and the school will consider these carefully. Parents do not have a veto over the statutory curriculum.</w:t>
      </w:r>
    </w:p>
    <w:p>
      <w:pPr>
        <w:pStyle w:val="Normal"/>
        <w:spacing w:lineRule="auto" w:line="264"/>
        <w:rPr/>
      </w:pPr>
      <w:r>
        <w:rPr>
          <w:rFonts w:cs="Calibri" w:ascii="Calibri" w:hAnsi="Calibri"/>
          <w:sz w:val="24"/>
          <w:lang w:val="en-GB"/>
        </w:rPr>
        <w:t xml:space="preserve">Where the school needs to make a significant departure from the published policy to respond to an emerging safeguarding or wellbeing issue, parents will be informed in advance where appropriate and relevant materials will be made available on request.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4"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15. Resources and external providers</w:t>
      </w:r>
    </w:p>
    <w:p>
      <w:pPr>
        <w:pStyle w:val="Normal"/>
        <w:spacing w:lineRule="auto" w:line="264"/>
        <w:rPr/>
      </w:pPr>
      <w:r>
        <w:rPr>
          <w:rFonts w:cs="Calibri" w:ascii="Calibri" w:hAnsi="Calibri"/>
          <w:sz w:val="24"/>
          <w:lang w:val="en-GB"/>
        </w:rPr>
        <w:t>The school remains responsible for all Relationships Education, Health Education and Sex Education delivered to pupils, including where external organisations or visitors contribute.</w:t>
      </w:r>
    </w:p>
    <w:p>
      <w:pPr>
        <w:pStyle w:val="Normal"/>
        <w:spacing w:lineRule="auto" w:line="264"/>
        <w:rPr>
          <w:rFonts w:ascii="Calibri" w:hAnsi="Calibri" w:cs="Calibri"/>
          <w:sz w:val="24"/>
          <w:lang w:val="en-GB"/>
        </w:rPr>
      </w:pPr>
      <w:r>
        <w:rPr>
          <w:rFonts w:cs="Calibri" w:ascii="Calibri" w:hAnsi="Calibri"/>
          <w:sz w:val="24"/>
          <w:lang w:val="en-GB"/>
        </w:rPr>
        <w:t>Before using an external provider, the school will:</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check the provider's credentials and suitability;</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review lesson plans and resources in advance;</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ensure that content is accurate, age and stage appropriate and accessible;</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consider whether resources are unbiased and appropriate to the school's ethos;</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ensure safeguarding arrangements are clear;</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ensure that external providers understand the school's safeguarding procedures;</w:t>
      </w:r>
    </w:p>
    <w:p>
      <w:pPr>
        <w:pStyle w:val="Normal"/>
        <w:numPr>
          <w:ilvl w:val="0"/>
          <w:numId w:val="7"/>
        </w:numPr>
        <w:spacing w:lineRule="auto" w:line="264"/>
        <w:rPr>
          <w:rFonts w:ascii="Calibri" w:hAnsi="Calibri" w:cs="Calibri"/>
          <w:sz w:val="24"/>
          <w:lang w:val="en-GB"/>
        </w:rPr>
      </w:pPr>
      <w:r>
        <w:rPr>
          <w:rFonts w:cs="Calibri" w:ascii="Calibri" w:hAnsi="Calibri"/>
          <w:sz w:val="24"/>
          <w:lang w:val="en-GB"/>
        </w:rPr>
        <w:t>ensure that parents can view materials used.</w:t>
      </w:r>
    </w:p>
    <w:p>
      <w:pPr>
        <w:pStyle w:val="Normal"/>
        <w:spacing w:lineRule="auto" w:line="264"/>
        <w:rPr/>
      </w:pPr>
      <w:r>
        <w:rPr>
          <w:rFonts w:cs="Calibri" w:ascii="Calibri" w:hAnsi="Calibri"/>
          <w:sz w:val="24"/>
          <w:lang w:val="en-GB"/>
        </w:rPr>
        <w:t xml:space="preserve">The school will not enter into arrangements with external providers that prevent parents from viewing RSHE materials used with pupils.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5"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16. Safeguarding</w:t>
      </w:r>
    </w:p>
    <w:p>
      <w:pPr>
        <w:pStyle w:val="Normal"/>
        <w:spacing w:lineRule="auto" w:line="264"/>
        <w:rPr>
          <w:rFonts w:ascii="Calibri" w:hAnsi="Calibri" w:cs="Calibri"/>
          <w:sz w:val="24"/>
          <w:lang w:val="en-GB"/>
        </w:rPr>
      </w:pPr>
      <w:r>
        <w:rPr>
          <w:rFonts w:cs="Calibri" w:ascii="Calibri" w:hAnsi="Calibri"/>
          <w:sz w:val="24"/>
          <w:lang w:val="en-GB"/>
        </w:rPr>
        <w:t>Relationships Education is an important part of the school's safeguarding provision.</w:t>
      </w:r>
    </w:p>
    <w:p>
      <w:pPr>
        <w:pStyle w:val="Normal"/>
        <w:spacing w:lineRule="auto" w:line="264"/>
        <w:rPr>
          <w:rFonts w:ascii="Calibri" w:hAnsi="Calibri" w:cs="Calibri"/>
          <w:sz w:val="24"/>
          <w:lang w:val="en-GB"/>
        </w:rPr>
      </w:pPr>
      <w:r>
        <w:rPr>
          <w:rFonts w:cs="Calibri" w:ascii="Calibri" w:hAnsi="Calibri"/>
          <w:sz w:val="24"/>
          <w:lang w:val="en-GB"/>
        </w:rPr>
        <w:t>Pupils will be taught how to:</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recognise unsafe and harmful situations;</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recognise emotional, physical and sexual abuse;</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understand boundaries and privacy;</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recognise inappropriate contact;</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identify trusted adults;</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report concerns;</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seek help and support;</w:t>
      </w:r>
    </w:p>
    <w:p>
      <w:pPr>
        <w:pStyle w:val="Normal"/>
        <w:numPr>
          <w:ilvl w:val="0"/>
          <w:numId w:val="20"/>
        </w:numPr>
        <w:spacing w:lineRule="auto" w:line="264"/>
        <w:rPr>
          <w:rFonts w:ascii="Calibri" w:hAnsi="Calibri" w:cs="Calibri"/>
          <w:sz w:val="24"/>
          <w:lang w:val="en-GB"/>
        </w:rPr>
      </w:pPr>
      <w:r>
        <w:rPr>
          <w:rFonts w:cs="Calibri" w:ascii="Calibri" w:hAnsi="Calibri"/>
          <w:sz w:val="24"/>
          <w:lang w:val="en-GB"/>
        </w:rPr>
        <w:t>understand that abuse is never their fault.</w:t>
      </w:r>
    </w:p>
    <w:p>
      <w:pPr>
        <w:pStyle w:val="Normal"/>
        <w:spacing w:lineRule="auto" w:line="264"/>
        <w:rPr>
          <w:rFonts w:ascii="Calibri" w:hAnsi="Calibri" w:cs="Calibri"/>
          <w:sz w:val="24"/>
          <w:lang w:val="en-GB"/>
        </w:rPr>
      </w:pPr>
      <w:r>
        <w:rPr>
          <w:rFonts w:cs="Calibri" w:ascii="Calibri" w:hAnsi="Calibri"/>
          <w:sz w:val="24"/>
          <w:lang w:val="en-GB"/>
        </w:rPr>
        <w:t>Staff delivering the curriculum will be alert to the possibility that teaching may prompt a disclosure.</w:t>
      </w:r>
    </w:p>
    <w:p>
      <w:pPr>
        <w:pStyle w:val="Normal"/>
        <w:spacing w:lineRule="auto" w:line="264"/>
        <w:rPr>
          <w:rFonts w:ascii="Calibri" w:hAnsi="Calibri" w:cs="Calibri"/>
          <w:sz w:val="24"/>
          <w:lang w:val="en-GB"/>
        </w:rPr>
      </w:pPr>
      <w:r>
        <w:rPr>
          <w:rFonts w:cs="Calibri" w:ascii="Calibri" w:hAnsi="Calibri"/>
          <w:sz w:val="24"/>
          <w:lang w:val="en-GB"/>
        </w:rPr>
        <w:t>Any disclosure or safeguarding concern arising during Relationships Education, Health Education, Science or Sex Education will be dealt with in accordance with the school's Safeguarding and Child Protection Policy.</w:t>
      </w:r>
    </w:p>
    <w:p>
      <w:pPr>
        <w:pStyle w:val="Normal"/>
        <w:spacing w:lineRule="auto" w:line="264"/>
        <w:rPr/>
      </w:pPr>
      <w:r>
        <w:rPr>
          <w:rFonts w:cs="Calibri" w:ascii="Calibri" w:hAnsi="Calibri"/>
          <w:sz w:val="24"/>
          <w:lang w:val="en-GB"/>
        </w:rPr>
        <w:t>Teachers will not promise pupils confidentiality where a safeguarding concern arises.</w:t>
      </w:r>
    </w:p>
    <w:p>
      <w:pPr>
        <w:pStyle w:val="Normal"/>
        <w:spacing w:lineRule="auto" w:line="264"/>
        <w:rPr/>
      </w:pPr>
      <w:r>
        <w:rPr>
          <w:rFonts w:cs="Calibri" w:ascii="Calibri" w:hAnsi="Calibri"/>
          <w:sz w:val="24"/>
          <w:lang w:val="en-GB"/>
        </w:rPr>
        <w:t xml:space="preserve">All staff involved in teaching these subjects will receive appropriate safeguarding training. </w:t>
      </w:r>
      <w:r>
        <w:rPr>
          <w:rFonts w:cs="Calibri" w:ascii="Calibri" w:hAnsi="Calibri"/>
          <w:b/>
          <w:bCs/>
          <w:sz w:val="24"/>
          <w:lang w:val="en-GB"/>
        </w:rPr>
        <w:t>G</w:t>
      </w:r>
      <w:r>
        <w:rPr>
          <w:rFonts w:cs="Calibri" w:ascii="Calibri" w:hAnsi="Calibri"/>
          <w:sz w:val="24"/>
          <w:lang w:val="en-GB"/>
        </w:rPr>
        <w:t>OV.UK+1</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6"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17. Teaching approaches</w:t>
      </w:r>
    </w:p>
    <w:p>
      <w:pPr>
        <w:pStyle w:val="Normal"/>
        <w:spacing w:lineRule="auto" w:line="264"/>
        <w:rPr>
          <w:rFonts w:ascii="Calibri" w:hAnsi="Calibri" w:cs="Calibri"/>
          <w:sz w:val="24"/>
          <w:lang w:val="en-GB"/>
        </w:rPr>
      </w:pPr>
      <w:r>
        <w:rPr>
          <w:rFonts w:cs="Calibri" w:ascii="Calibri" w:hAnsi="Calibri"/>
          <w:sz w:val="24"/>
          <w:lang w:val="en-GB"/>
        </w:rPr>
        <w:t>Relationships Education will use a range of teaching approaches appropriate to pupils' age and needs, including:</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discussion;</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stories and high-quality literature;</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role play where appropriate;</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scenarios and case studies;</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reflection;</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collaborative activities;</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question boxes;</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visual resources;</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structured activities;</w:t>
      </w:r>
    </w:p>
    <w:p>
      <w:pPr>
        <w:pStyle w:val="Normal"/>
        <w:numPr>
          <w:ilvl w:val="0"/>
          <w:numId w:val="13"/>
        </w:numPr>
        <w:spacing w:lineRule="auto" w:line="264"/>
        <w:rPr>
          <w:rFonts w:ascii="Calibri" w:hAnsi="Calibri" w:cs="Calibri"/>
          <w:sz w:val="24"/>
          <w:lang w:val="en-GB"/>
        </w:rPr>
      </w:pPr>
      <w:r>
        <w:rPr>
          <w:rFonts w:cs="Calibri" w:ascii="Calibri" w:hAnsi="Calibri"/>
          <w:sz w:val="24"/>
          <w:lang w:val="en-GB"/>
        </w:rPr>
        <w:t>opportunities to practise communication and relationship skills.</w:t>
      </w:r>
    </w:p>
    <w:p>
      <w:pPr>
        <w:pStyle w:val="Normal"/>
        <w:spacing w:lineRule="auto" w:line="264"/>
        <w:rPr>
          <w:rFonts w:ascii="Calibri" w:hAnsi="Calibri" w:cs="Calibri"/>
          <w:sz w:val="24"/>
          <w:lang w:val="en-GB"/>
        </w:rPr>
      </w:pPr>
      <w:r>
        <w:rPr>
          <w:rFonts w:cs="Calibri" w:ascii="Calibri" w:hAnsi="Calibri"/>
          <w:sz w:val="24"/>
          <w:lang w:val="en-GB"/>
        </w:rPr>
        <w:t>Teachers will establish appropriate ground rules for sensitive discussions.</w:t>
      </w:r>
    </w:p>
    <w:p>
      <w:pPr>
        <w:pStyle w:val="Normal"/>
        <w:spacing w:lineRule="auto" w:line="264"/>
        <w:rPr>
          <w:rFonts w:ascii="Calibri" w:hAnsi="Calibri" w:cs="Calibri"/>
          <w:sz w:val="24"/>
          <w:lang w:val="en-GB"/>
        </w:rPr>
      </w:pPr>
      <w:r>
        <w:rPr>
          <w:rFonts w:cs="Calibri" w:ascii="Calibri" w:hAnsi="Calibri"/>
          <w:sz w:val="24"/>
          <w:lang w:val="en-GB"/>
        </w:rPr>
        <w:t>Teaching will avoid causing unnecessary alarm and will not normalise harmful or risky behaviours.</w:t>
      </w:r>
    </w:p>
    <w:p>
      <w:pPr>
        <w:pStyle w:val="Normal"/>
        <w:spacing w:lineRule="auto" w:line="264"/>
        <w:rPr/>
      </w:pPr>
      <w:r>
        <w:rPr>
          <w:rFonts w:cs="Calibri" w:ascii="Calibri" w:hAnsi="Calibri"/>
          <w:sz w:val="24"/>
          <w:lang w:val="en-GB"/>
        </w:rPr>
        <w:t xml:space="preserve">The school may use distancing techniques and anonymous question opportunities when appropriate to help pupils discuss sensitive subjects safely. </w:t>
      </w:r>
      <w:r>
        <w:rPr>
          <w:rFonts w:cs="Calibri" w:ascii="Calibri" w:hAnsi="Calibri"/>
          <w:b/>
          <w:bCs/>
          <w:sz w:val="24"/>
          <w:lang w:val="en-GB"/>
        </w:rPr>
        <w:t>G</w:t>
      </w:r>
      <w:r>
        <w:rPr>
          <w:rFonts w:cs="Calibri" w:ascii="Calibri" w:hAnsi="Calibri"/>
          <w:sz w:val="24"/>
          <w:lang w:val="en-GB"/>
        </w:rPr>
        <w:t>OV.UK</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7"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18. Curriculum resources</w:t>
      </w:r>
    </w:p>
    <w:p>
      <w:pPr>
        <w:pStyle w:val="Normal"/>
        <w:spacing w:lineRule="auto" w:line="264"/>
        <w:rPr>
          <w:rFonts w:ascii="Calibri" w:hAnsi="Calibri" w:cs="Calibri"/>
          <w:sz w:val="24"/>
          <w:lang w:val="en-GB"/>
        </w:rPr>
      </w:pPr>
      <w:r>
        <w:rPr>
          <w:rFonts w:cs="Calibri" w:ascii="Calibri" w:hAnsi="Calibri"/>
          <w:sz w:val="24"/>
          <w:lang w:val="en-GB"/>
        </w:rPr>
        <w:t>The school's curriculum has been developed with reference to:</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the DfE statutory RSHE guidance 2026;</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the National Curriculum for Science;</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PSHE resources and guidance;</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appropriate safeguarding guidance;</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the Equality Act 2010;</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the school's Christian values and ethos;</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carefully selected children's literature;</w:t>
      </w:r>
    </w:p>
    <w:p>
      <w:pPr>
        <w:pStyle w:val="Normal"/>
        <w:numPr>
          <w:ilvl w:val="0"/>
          <w:numId w:val="26"/>
        </w:numPr>
        <w:spacing w:lineRule="auto" w:line="264"/>
        <w:rPr>
          <w:rFonts w:ascii="Calibri" w:hAnsi="Calibri" w:cs="Calibri"/>
          <w:sz w:val="24"/>
          <w:lang w:val="en-GB"/>
        </w:rPr>
      </w:pPr>
      <w:r>
        <w:rPr>
          <w:rFonts w:cs="Calibri" w:ascii="Calibri" w:hAnsi="Calibri"/>
          <w:sz w:val="24"/>
          <w:lang w:val="en-GB"/>
        </w:rPr>
        <w:t>resources which support respectful and inclusive relationships.</w:t>
      </w:r>
    </w:p>
    <w:p>
      <w:pPr>
        <w:pStyle w:val="Normal"/>
        <w:spacing w:lineRule="auto" w:line="264"/>
        <w:rPr>
          <w:rFonts w:ascii="Calibri" w:hAnsi="Calibri" w:cs="Calibri"/>
          <w:sz w:val="24"/>
          <w:lang w:val="en-GB"/>
        </w:rPr>
      </w:pPr>
      <w:r>
        <w:rPr>
          <w:rFonts w:cs="Calibri" w:ascii="Calibri" w:hAnsi="Calibri"/>
          <w:sz w:val="24"/>
          <w:lang w:val="en-GB"/>
        </w:rPr>
        <w:t>Resources will be reviewed to ensure that they remain:</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accurate;</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age and stage appropriate;</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inclusive;</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accessible;</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consistent with this policy;</w:t>
      </w:r>
    </w:p>
    <w:p>
      <w:pPr>
        <w:pStyle w:val="Normal"/>
        <w:numPr>
          <w:ilvl w:val="0"/>
          <w:numId w:val="27"/>
        </w:numPr>
        <w:spacing w:lineRule="auto" w:line="264"/>
        <w:rPr>
          <w:rFonts w:ascii="Calibri" w:hAnsi="Calibri" w:cs="Calibri"/>
          <w:sz w:val="24"/>
          <w:lang w:val="en-GB"/>
        </w:rPr>
      </w:pPr>
      <w:r>
        <w:rPr>
          <w:rFonts w:cs="Calibri" w:ascii="Calibri" w:hAnsi="Calibri"/>
          <w:sz w:val="24"/>
          <w:lang w:val="en-GB"/>
        </w:rPr>
        <w:t>consistent with current statutory guidance.</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8"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19. Roles and responsibilities</w:t>
      </w:r>
    </w:p>
    <w:p>
      <w:pPr>
        <w:pStyle w:val="Normal"/>
        <w:spacing w:lineRule="auto" w:line="264"/>
        <w:rPr>
          <w:rFonts w:ascii="Calibri" w:hAnsi="Calibri" w:cs="Calibri"/>
          <w:b/>
          <w:bCs/>
          <w:sz w:val="24"/>
          <w:lang w:val="en-GB"/>
        </w:rPr>
      </w:pPr>
      <w:r>
        <w:rPr>
          <w:rFonts w:cs="Calibri" w:ascii="Calibri" w:hAnsi="Calibri"/>
          <w:b/>
          <w:bCs/>
          <w:sz w:val="24"/>
          <w:lang w:val="en-GB"/>
        </w:rPr>
        <w:t>Governing Body</w:t>
      </w:r>
    </w:p>
    <w:p>
      <w:pPr>
        <w:pStyle w:val="Normal"/>
        <w:spacing w:lineRule="auto" w:line="264"/>
        <w:rPr>
          <w:rFonts w:ascii="Calibri" w:hAnsi="Calibri" w:cs="Calibri"/>
          <w:sz w:val="24"/>
          <w:lang w:val="en-GB"/>
        </w:rPr>
      </w:pPr>
      <w:r>
        <w:rPr>
          <w:rFonts w:cs="Calibri" w:ascii="Calibri" w:hAnsi="Calibri"/>
          <w:sz w:val="24"/>
          <w:lang w:val="en-GB"/>
        </w:rPr>
        <w:t>The governing body will:</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approve the Relationships Education/Sex Education policy;</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ensure the policy is kept up to date;</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ensure parents are consulted before the policy is made or revised;</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hold the Headteacher to account for implementation;</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ensure that the curriculum and teaching materials align with statutory requirements and guidance;</w:t>
      </w:r>
    </w:p>
    <w:p>
      <w:pPr>
        <w:pStyle w:val="Normal"/>
        <w:numPr>
          <w:ilvl w:val="0"/>
          <w:numId w:val="14"/>
        </w:numPr>
        <w:spacing w:lineRule="auto" w:line="264"/>
        <w:rPr>
          <w:rFonts w:ascii="Calibri" w:hAnsi="Calibri" w:cs="Calibri"/>
          <w:sz w:val="24"/>
          <w:lang w:val="en-GB"/>
        </w:rPr>
      </w:pPr>
      <w:r>
        <w:rPr>
          <w:rFonts w:cs="Calibri" w:ascii="Calibri" w:hAnsi="Calibri"/>
          <w:sz w:val="24"/>
          <w:lang w:val="en-GB"/>
        </w:rPr>
        <w:t>ensure that provision is accessible to pupils with SEND.</w:t>
      </w:r>
    </w:p>
    <w:p>
      <w:pPr>
        <w:pStyle w:val="Normal"/>
        <w:spacing w:lineRule="auto" w:line="264"/>
        <w:rPr>
          <w:rFonts w:ascii="Calibri" w:hAnsi="Calibri" w:cs="Calibri"/>
          <w:b/>
          <w:bCs/>
          <w:sz w:val="24"/>
          <w:lang w:val="en-GB"/>
        </w:rPr>
      </w:pPr>
      <w:r>
        <w:rPr>
          <w:rFonts w:cs="Calibri" w:ascii="Calibri" w:hAnsi="Calibri"/>
          <w:b/>
          <w:bCs/>
          <w:sz w:val="24"/>
          <w:lang w:val="en-GB"/>
        </w:rPr>
        <w:t>Headteacher</w:t>
      </w:r>
    </w:p>
    <w:p>
      <w:pPr>
        <w:pStyle w:val="Normal"/>
        <w:spacing w:lineRule="auto" w:line="264"/>
        <w:rPr>
          <w:rFonts w:ascii="Calibri" w:hAnsi="Calibri" w:cs="Calibri"/>
          <w:sz w:val="24"/>
          <w:lang w:val="en-GB"/>
        </w:rPr>
      </w:pPr>
      <w:r>
        <w:rPr>
          <w:rFonts w:cs="Calibri" w:ascii="Calibri" w:hAnsi="Calibri"/>
          <w:sz w:val="24"/>
          <w:lang w:val="en-GB"/>
        </w:rPr>
        <w:t>The Headteacher will:</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ensure the policy is implemented consistently;</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ensure statutory Relationships Education and Health Education are provided;</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oversee additional Sex Education;</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manage parental withdrawal requests;</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ensure appropriate staff training;</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ensure appropriate safeguarding arrangements;</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oversee the use of external providers;</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ensure parents can access curriculum materials;</w:t>
      </w:r>
    </w:p>
    <w:p>
      <w:pPr>
        <w:pStyle w:val="Normal"/>
        <w:numPr>
          <w:ilvl w:val="0"/>
          <w:numId w:val="5"/>
        </w:numPr>
        <w:spacing w:lineRule="auto" w:line="264"/>
        <w:rPr>
          <w:rFonts w:ascii="Calibri" w:hAnsi="Calibri" w:cs="Calibri"/>
          <w:sz w:val="24"/>
          <w:lang w:val="en-GB"/>
        </w:rPr>
      </w:pPr>
      <w:r>
        <w:rPr>
          <w:rFonts w:cs="Calibri" w:ascii="Calibri" w:hAnsi="Calibri"/>
          <w:sz w:val="24"/>
          <w:lang w:val="en-GB"/>
        </w:rPr>
        <w:t>monitor the quality and effectiveness of provision.</w:t>
      </w:r>
    </w:p>
    <w:p>
      <w:pPr>
        <w:pStyle w:val="Normal"/>
        <w:spacing w:lineRule="auto" w:line="264"/>
        <w:rPr>
          <w:rFonts w:ascii="Calibri" w:hAnsi="Calibri" w:cs="Calibri"/>
          <w:b/>
          <w:bCs/>
          <w:sz w:val="24"/>
          <w:lang w:val="en-GB"/>
        </w:rPr>
      </w:pPr>
      <w:r>
        <w:rPr>
          <w:rFonts w:cs="Calibri" w:ascii="Calibri" w:hAnsi="Calibri"/>
          <w:b/>
          <w:bCs/>
          <w:sz w:val="24"/>
          <w:lang w:val="en-GB"/>
        </w:rPr>
        <w:t>RSHE/PSHE Lead</w:t>
      </w:r>
    </w:p>
    <w:p>
      <w:pPr>
        <w:pStyle w:val="Normal"/>
        <w:spacing w:lineRule="auto" w:line="264"/>
        <w:rPr>
          <w:rFonts w:ascii="Calibri" w:hAnsi="Calibri" w:cs="Calibri"/>
          <w:sz w:val="24"/>
          <w:lang w:val="en-GB"/>
        </w:rPr>
      </w:pPr>
      <w:r>
        <w:rPr>
          <w:rFonts w:cs="Calibri" w:ascii="Calibri" w:hAnsi="Calibri"/>
          <w:sz w:val="24"/>
          <w:lang w:val="en-GB"/>
        </w:rPr>
        <w:t>The subject lead will:</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oversee curriculum planning and progression;</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ensure statutory content is covered;</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support staff with planning and delivery;</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monitor teaching and pupil progress;</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review resources;</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keep up to date with statutory guidance;</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liaise with parents and external providers where appropriate;</w:t>
      </w:r>
    </w:p>
    <w:p>
      <w:pPr>
        <w:pStyle w:val="Normal"/>
        <w:numPr>
          <w:ilvl w:val="0"/>
          <w:numId w:val="28"/>
        </w:numPr>
        <w:spacing w:lineRule="auto" w:line="264"/>
        <w:rPr>
          <w:rFonts w:ascii="Calibri" w:hAnsi="Calibri" w:cs="Calibri"/>
          <w:sz w:val="24"/>
          <w:lang w:val="en-GB"/>
        </w:rPr>
      </w:pPr>
      <w:r>
        <w:rPr>
          <w:rFonts w:cs="Calibri" w:ascii="Calibri" w:hAnsi="Calibri"/>
          <w:sz w:val="24"/>
          <w:lang w:val="en-GB"/>
        </w:rPr>
        <w:t>report to senior leaders and governors on provision.</w:t>
      </w:r>
    </w:p>
    <w:p>
      <w:pPr>
        <w:pStyle w:val="Normal"/>
        <w:spacing w:lineRule="auto" w:line="264"/>
        <w:rPr>
          <w:rFonts w:ascii="Calibri" w:hAnsi="Calibri" w:cs="Calibri"/>
          <w:b/>
          <w:bCs/>
          <w:sz w:val="24"/>
          <w:lang w:val="en-GB"/>
        </w:rPr>
      </w:pPr>
      <w:r>
        <w:rPr>
          <w:rFonts w:cs="Calibri" w:ascii="Calibri" w:hAnsi="Calibri"/>
          <w:b/>
          <w:bCs/>
          <w:sz w:val="24"/>
          <w:lang w:val="en-GB"/>
        </w:rPr>
        <w:t>Teachers and support staff</w:t>
      </w:r>
    </w:p>
    <w:p>
      <w:pPr>
        <w:pStyle w:val="Normal"/>
        <w:spacing w:lineRule="auto" w:line="264"/>
        <w:rPr>
          <w:rFonts w:ascii="Calibri" w:hAnsi="Calibri" w:cs="Calibri"/>
          <w:sz w:val="24"/>
          <w:lang w:val="en-GB"/>
        </w:rPr>
      </w:pPr>
      <w:r>
        <w:rPr>
          <w:rFonts w:cs="Calibri" w:ascii="Calibri" w:hAnsi="Calibri"/>
          <w:sz w:val="24"/>
          <w:lang w:val="en-GB"/>
        </w:rPr>
        <w:t>Staff are responsible for:</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delivering teaching sensitively and appropriately;</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modelling respectful relationships;</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creating a safe learning environment;</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responding appropriately to pupils' questions;</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identifying and reporting safeguarding concerns;</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adapting teaching to meet pupils' needs;</w:t>
      </w:r>
    </w:p>
    <w:p>
      <w:pPr>
        <w:pStyle w:val="Normal"/>
        <w:numPr>
          <w:ilvl w:val="0"/>
          <w:numId w:val="9"/>
        </w:numPr>
        <w:spacing w:lineRule="auto" w:line="264"/>
        <w:rPr>
          <w:rFonts w:ascii="Calibri" w:hAnsi="Calibri" w:cs="Calibri"/>
          <w:sz w:val="24"/>
          <w:lang w:val="en-GB"/>
        </w:rPr>
      </w:pPr>
      <w:r>
        <w:rPr>
          <w:rFonts w:cs="Calibri" w:ascii="Calibri" w:hAnsi="Calibri"/>
          <w:sz w:val="24"/>
          <w:lang w:val="en-GB"/>
        </w:rPr>
        <w:t>monitoring pupil progress.</w:t>
      </w:r>
    </w:p>
    <w:p>
      <w:pPr>
        <w:pStyle w:val="Normal"/>
        <w:spacing w:lineRule="auto" w:line="264"/>
        <w:rPr/>
      </w:pPr>
      <w:r>
        <w:rPr>
          <w:rFonts w:cs="Calibri" w:ascii="Calibri" w:hAnsi="Calibri"/>
          <w:sz w:val="24"/>
          <w:lang w:val="en-GB"/>
        </w:rPr>
        <w:t>Staff are expected to participate in appropriate professional development and cannot opt out of delivering statutory curriculum requirements.</w:t>
      </w:r>
    </w:p>
    <w:p>
      <w:pPr>
        <w:pStyle w:val="Normal"/>
        <w:spacing w:lineRule="auto" w:line="264"/>
        <w:rPr>
          <w:rFonts w:ascii="Calibri" w:hAnsi="Calibri" w:cs="Calibri"/>
          <w:b/>
          <w:bCs/>
          <w:sz w:val="24"/>
          <w:lang w:val="en-GB"/>
        </w:rPr>
      </w:pPr>
      <w:r>
        <w:rPr>
          <w:rFonts w:cs="Calibri" w:ascii="Calibri" w:hAnsi="Calibri"/>
          <w:b/>
          <w:bCs/>
          <w:sz w:val="24"/>
          <w:lang w:val="en-GB"/>
        </w:rPr>
        <w:t>Pupils</w:t>
      </w:r>
    </w:p>
    <w:p>
      <w:pPr>
        <w:pStyle w:val="Normal"/>
        <w:spacing w:lineRule="auto" w:line="264"/>
        <w:rPr>
          <w:rFonts w:ascii="Calibri" w:hAnsi="Calibri" w:cs="Calibri"/>
          <w:sz w:val="24"/>
          <w:lang w:val="en-GB"/>
        </w:rPr>
      </w:pPr>
      <w:r>
        <w:rPr>
          <w:rFonts w:cs="Calibri" w:ascii="Calibri" w:hAnsi="Calibri"/>
          <w:sz w:val="24"/>
          <w:lang w:val="en-GB"/>
        </w:rPr>
        <w:t>Pupils are expected to:</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participate appropriately in lessons;</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listen respectfully to others;</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respect differences;</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follow agreed ground rules;</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ask questions appropriately;</w:t>
      </w:r>
    </w:p>
    <w:p>
      <w:pPr>
        <w:pStyle w:val="Normal"/>
        <w:numPr>
          <w:ilvl w:val="0"/>
          <w:numId w:val="2"/>
        </w:numPr>
        <w:spacing w:lineRule="auto" w:line="264"/>
        <w:rPr>
          <w:rFonts w:ascii="Calibri" w:hAnsi="Calibri" w:cs="Calibri"/>
          <w:sz w:val="24"/>
          <w:lang w:val="en-GB"/>
        </w:rPr>
      </w:pPr>
      <w:r>
        <w:rPr>
          <w:rFonts w:cs="Calibri" w:ascii="Calibri" w:hAnsi="Calibri"/>
          <w:sz w:val="24"/>
          <w:lang w:val="en-GB"/>
        </w:rPr>
        <w:t>seek help when they feel unsafe or concerned.</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19"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20. Staff training</w:t>
      </w:r>
    </w:p>
    <w:p>
      <w:pPr>
        <w:pStyle w:val="Normal"/>
        <w:spacing w:lineRule="auto" w:line="264"/>
        <w:rPr>
          <w:rFonts w:ascii="Calibri" w:hAnsi="Calibri" w:cs="Calibri"/>
          <w:sz w:val="24"/>
          <w:lang w:val="en-GB"/>
        </w:rPr>
      </w:pPr>
      <w:r>
        <w:rPr>
          <w:rFonts w:cs="Calibri" w:ascii="Calibri" w:hAnsi="Calibri"/>
          <w:sz w:val="24"/>
          <w:lang w:val="en-GB"/>
        </w:rPr>
        <w:t>Staff will receive appropriate training as part of induction and continuing professional development.</w:t>
      </w:r>
    </w:p>
    <w:p>
      <w:pPr>
        <w:pStyle w:val="Normal"/>
        <w:spacing w:lineRule="auto" w:line="264"/>
        <w:rPr>
          <w:rFonts w:ascii="Calibri" w:hAnsi="Calibri" w:cs="Calibri"/>
          <w:sz w:val="24"/>
          <w:lang w:val="en-GB"/>
        </w:rPr>
      </w:pPr>
      <w:r>
        <w:rPr>
          <w:rFonts w:cs="Calibri" w:ascii="Calibri" w:hAnsi="Calibri"/>
          <w:sz w:val="24"/>
          <w:lang w:val="en-GB"/>
        </w:rPr>
        <w:t>Training will address, where appropriate:</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the statutory requirements;</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curriculum content and progression;</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effective teaching approaches;</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safeguarding;</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managing sensitive questions;</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responding to disclosures;</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equality and inclusion;</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SEND accessibility;</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appropriate use of resources;</w:t>
      </w:r>
    </w:p>
    <w:p>
      <w:pPr>
        <w:pStyle w:val="Normal"/>
        <w:numPr>
          <w:ilvl w:val="0"/>
          <w:numId w:val="22"/>
        </w:numPr>
        <w:spacing w:lineRule="auto" w:line="264"/>
        <w:rPr>
          <w:rFonts w:ascii="Calibri" w:hAnsi="Calibri" w:cs="Calibri"/>
          <w:sz w:val="24"/>
          <w:lang w:val="en-GB"/>
        </w:rPr>
      </w:pPr>
      <w:r>
        <w:rPr>
          <w:rFonts w:cs="Calibri" w:ascii="Calibri" w:hAnsi="Calibri"/>
          <w:sz w:val="24"/>
          <w:lang w:val="en-GB"/>
        </w:rPr>
        <w:t>current developments in statutory guidance.</w:t>
      </w:r>
    </w:p>
    <w:p>
      <w:pPr>
        <w:pStyle w:val="Normal"/>
        <w:spacing w:lineRule="auto" w:line="264"/>
        <w:rPr>
          <w:rFonts w:ascii="Calibri" w:hAnsi="Calibri" w:cs="Calibri"/>
          <w:sz w:val="24"/>
          <w:lang w:val="en-GB"/>
        </w:rPr>
      </w:pPr>
      <w:r>
        <w:rPr>
          <w:rFonts w:cs="Calibri" w:ascii="Calibri" w:hAnsi="Calibri"/>
          <w:sz w:val="24"/>
          <w:lang w:val="en-GB"/>
        </w:rPr>
        <w:t>Where external visitors or specialist providers are used, staff will understand their role and the school's safeguarding procedures.</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0"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21. Monitoring and assessment</w:t>
      </w:r>
    </w:p>
    <w:p>
      <w:pPr>
        <w:pStyle w:val="Normal"/>
        <w:spacing w:lineRule="auto" w:line="264"/>
        <w:rPr/>
      </w:pPr>
      <w:r>
        <w:rPr>
          <w:rFonts w:cs="Calibri" w:ascii="Calibri" w:hAnsi="Calibri"/>
          <w:sz w:val="24"/>
          <w:lang w:val="en-GB"/>
        </w:rPr>
        <w:t>The delivery of Relationships Education and additional Sex Education will be monitored by the Headteacher and/or RSHE Lead through:</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lesson observations;</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learning walks;</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curriculum and resource review;</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work scrutiny where appropriate;</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pupil voice;</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staff feedback;</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parent feedback;</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assessment information;</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review of safeguarding and pastoral needs;</w:t>
      </w:r>
    </w:p>
    <w:p>
      <w:pPr>
        <w:pStyle w:val="Normal"/>
        <w:numPr>
          <w:ilvl w:val="0"/>
          <w:numId w:val="11"/>
        </w:numPr>
        <w:spacing w:lineRule="auto" w:line="264"/>
        <w:rPr>
          <w:rFonts w:ascii="Calibri" w:hAnsi="Calibri" w:cs="Calibri"/>
          <w:sz w:val="24"/>
          <w:lang w:val="en-GB"/>
        </w:rPr>
      </w:pPr>
      <w:r>
        <w:rPr>
          <w:rFonts w:cs="Calibri" w:ascii="Calibri" w:hAnsi="Calibri"/>
          <w:sz w:val="24"/>
          <w:lang w:val="en-GB"/>
        </w:rPr>
        <w:t>monitoring of curriculum coverage and progression.</w:t>
      </w:r>
    </w:p>
    <w:p>
      <w:pPr>
        <w:pStyle w:val="Normal"/>
        <w:spacing w:lineRule="auto" w:line="264"/>
        <w:rPr>
          <w:rFonts w:ascii="Calibri" w:hAnsi="Calibri" w:cs="Calibri"/>
          <w:sz w:val="24"/>
          <w:lang w:val="en-GB"/>
        </w:rPr>
      </w:pPr>
      <w:r>
        <w:rPr>
          <w:rFonts w:cs="Calibri" w:ascii="Calibri" w:hAnsi="Calibri"/>
          <w:sz w:val="24"/>
          <w:lang w:val="en-GB"/>
        </w:rPr>
        <w:t>Pupils' development will be assessed through appropriate formative assessment, including questioning, discussion, reflection and demonstration of knowledge and skills.</w:t>
      </w:r>
    </w:p>
    <w:p>
      <w:pPr>
        <w:pStyle w:val="Normal"/>
        <w:spacing w:lineRule="auto" w:line="264"/>
        <w:rPr/>
      </w:pPr>
      <w:r>
        <w:rPr>
          <w:rFonts w:cs="Calibri" w:ascii="Calibri" w:hAnsi="Calibri"/>
          <w:sz w:val="24"/>
          <w:lang w:val="en-GB"/>
        </w:rPr>
        <w:t>Assessment will not require pupils to disclose personal or private information.</w:t>
      </w:r>
    </w:p>
    <w:p>
      <w:pPr>
        <w:pStyle w:val="Normal"/>
        <w:spacing w:lineRule="auto" w:line="264"/>
        <w:rPr>
          <w:rFonts w:ascii="Calibri" w:hAnsi="Calibri" w:cs="Calibri"/>
          <w:sz w:val="24"/>
          <w:lang w:val="en-GB"/>
        </w:rPr>
      </w:pPr>
      <w:r>
        <w:rPr>
          <w:rFonts w:cs="Calibri" w:ascii="Calibri" w:hAnsi="Calibri"/>
          <w:sz w:val="24"/>
          <w:lang w:val="en-GB"/>
        </w:rPr>
        <w:t>The school will evaluate whether pupils are developing the knowledge, skills and confidence expected by the end of each stage.</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1"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22. Confidentiality and safeguarding boundaries</w:t>
      </w:r>
    </w:p>
    <w:p>
      <w:pPr>
        <w:pStyle w:val="Normal"/>
        <w:spacing w:lineRule="auto" w:line="264"/>
        <w:rPr>
          <w:rFonts w:ascii="Calibri" w:hAnsi="Calibri" w:cs="Calibri"/>
          <w:sz w:val="24"/>
          <w:lang w:val="en-GB"/>
        </w:rPr>
      </w:pPr>
      <w:r>
        <w:rPr>
          <w:rFonts w:cs="Calibri" w:ascii="Calibri" w:hAnsi="Calibri"/>
          <w:sz w:val="24"/>
          <w:lang w:val="en-GB"/>
        </w:rPr>
        <w:t>Teachers will establish clear expectations regarding confidentiality.</w:t>
      </w:r>
    </w:p>
    <w:p>
      <w:pPr>
        <w:pStyle w:val="Normal"/>
        <w:spacing w:lineRule="auto" w:line="264"/>
        <w:rPr>
          <w:rFonts w:ascii="Calibri" w:hAnsi="Calibri" w:cs="Calibri"/>
          <w:sz w:val="24"/>
          <w:lang w:val="en-GB"/>
        </w:rPr>
      </w:pPr>
      <w:r>
        <w:rPr>
          <w:rFonts w:cs="Calibri" w:ascii="Calibri" w:hAnsi="Calibri"/>
          <w:sz w:val="24"/>
          <w:lang w:val="en-GB"/>
        </w:rPr>
        <w:t>Pupils will be told that teachers cannot keep information confidential if a pupil or another person may be at risk of harm.</w:t>
      </w:r>
    </w:p>
    <w:p>
      <w:pPr>
        <w:pStyle w:val="Normal"/>
        <w:spacing w:lineRule="auto" w:line="264"/>
        <w:rPr/>
      </w:pPr>
      <w:r>
        <w:rPr>
          <w:rFonts w:cs="Calibri" w:ascii="Calibri" w:hAnsi="Calibri"/>
          <w:sz w:val="24"/>
          <w:lang w:val="en-GB"/>
        </w:rPr>
        <w:t>Where a disclosure is made, staff will follow the school's safeguarding procedures.</w:t>
      </w:r>
    </w:p>
    <w:p>
      <w:pPr>
        <w:pStyle w:val="Normal"/>
        <w:spacing w:lineRule="auto" w:line="264"/>
        <w:rPr>
          <w:rFonts w:ascii="Calibri" w:hAnsi="Calibri" w:cs="Calibri"/>
          <w:sz w:val="24"/>
          <w:lang w:val="en-GB"/>
        </w:rPr>
      </w:pPr>
      <w:r>
        <w:rPr>
          <w:rFonts w:cs="Calibri" w:ascii="Calibri" w:hAnsi="Calibri"/>
          <w:sz w:val="24"/>
          <w:lang w:val="en-GB"/>
        </w:rPr>
        <w:t>Staff will not investigate safeguarding concerns themselves and will report concerns to the Designated Safeguarding Lead or deputy in accordance with the school's safeguarding arrangements.</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2"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23. Policy development and consultation</w:t>
      </w:r>
    </w:p>
    <w:p>
      <w:pPr>
        <w:pStyle w:val="Normal"/>
        <w:spacing w:lineRule="auto" w:line="264"/>
        <w:rPr>
          <w:rFonts w:ascii="Calibri" w:hAnsi="Calibri" w:cs="Calibri"/>
          <w:sz w:val="24"/>
          <w:lang w:val="en-GB"/>
        </w:rPr>
      </w:pPr>
      <w:r>
        <w:rPr>
          <w:rFonts w:cs="Calibri" w:ascii="Calibri" w:hAnsi="Calibri"/>
          <w:sz w:val="24"/>
          <w:lang w:val="en-GB"/>
        </w:rPr>
        <w:t>This policy has been developed through consultation with staff, pupils, parents and governors.</w:t>
      </w:r>
    </w:p>
    <w:p>
      <w:pPr>
        <w:pStyle w:val="Normal"/>
        <w:spacing w:lineRule="auto" w:line="264"/>
        <w:rPr>
          <w:rFonts w:ascii="Calibri" w:hAnsi="Calibri" w:cs="Calibri"/>
          <w:sz w:val="24"/>
          <w:lang w:val="en-GB"/>
        </w:rPr>
      </w:pPr>
      <w:r>
        <w:rPr>
          <w:rFonts w:cs="Calibri" w:ascii="Calibri" w:hAnsi="Calibri"/>
          <w:sz w:val="24"/>
          <w:lang w:val="en-GB"/>
        </w:rPr>
        <w:t>The previous policy was developed following:</w:t>
      </w:r>
    </w:p>
    <w:p>
      <w:pPr>
        <w:pStyle w:val="Normal"/>
        <w:numPr>
          <w:ilvl w:val="0"/>
          <w:numId w:val="10"/>
        </w:numPr>
        <w:spacing w:lineRule="auto" w:line="264"/>
        <w:rPr>
          <w:rFonts w:ascii="Calibri" w:hAnsi="Calibri" w:cs="Calibri"/>
          <w:sz w:val="24"/>
          <w:lang w:val="en-GB"/>
        </w:rPr>
      </w:pPr>
      <w:r>
        <w:rPr>
          <w:rFonts w:cs="Calibri" w:ascii="Calibri" w:hAnsi="Calibri"/>
          <w:sz w:val="24"/>
          <w:lang w:val="en-GB"/>
        </w:rPr>
        <w:t>review of provision by school leaders;</w:t>
      </w:r>
    </w:p>
    <w:p>
      <w:pPr>
        <w:pStyle w:val="Normal"/>
        <w:numPr>
          <w:ilvl w:val="0"/>
          <w:numId w:val="10"/>
        </w:numPr>
        <w:spacing w:lineRule="auto" w:line="264"/>
        <w:rPr>
          <w:rFonts w:ascii="Calibri" w:hAnsi="Calibri" w:cs="Calibri"/>
          <w:sz w:val="24"/>
          <w:lang w:val="en-GB"/>
        </w:rPr>
      </w:pPr>
      <w:r>
        <w:rPr>
          <w:rFonts w:cs="Calibri" w:ascii="Calibri" w:hAnsi="Calibri"/>
          <w:sz w:val="24"/>
          <w:lang w:val="en-GB"/>
        </w:rPr>
        <w:t>staff consultation and training;</w:t>
      </w:r>
    </w:p>
    <w:p>
      <w:pPr>
        <w:pStyle w:val="Normal"/>
        <w:numPr>
          <w:ilvl w:val="0"/>
          <w:numId w:val="10"/>
        </w:numPr>
        <w:spacing w:lineRule="auto" w:line="264"/>
        <w:rPr>
          <w:rFonts w:ascii="Calibri" w:hAnsi="Calibri" w:cs="Calibri"/>
          <w:sz w:val="24"/>
          <w:lang w:val="en-GB"/>
        </w:rPr>
      </w:pPr>
      <w:r>
        <w:rPr>
          <w:rFonts w:cs="Calibri" w:ascii="Calibri" w:hAnsi="Calibri"/>
          <w:sz w:val="24"/>
          <w:lang w:val="en-GB"/>
        </w:rPr>
        <w:t>parent consultation;</w:t>
      </w:r>
    </w:p>
    <w:p>
      <w:pPr>
        <w:pStyle w:val="Normal"/>
        <w:numPr>
          <w:ilvl w:val="0"/>
          <w:numId w:val="10"/>
        </w:numPr>
        <w:spacing w:lineRule="auto" w:line="264"/>
        <w:rPr>
          <w:rFonts w:ascii="Calibri" w:hAnsi="Calibri" w:cs="Calibri"/>
          <w:sz w:val="24"/>
          <w:lang w:val="en-GB"/>
        </w:rPr>
      </w:pPr>
      <w:r>
        <w:rPr>
          <w:rFonts w:cs="Calibri" w:ascii="Calibri" w:hAnsi="Calibri"/>
          <w:sz w:val="24"/>
          <w:lang w:val="en-GB"/>
        </w:rPr>
        <w:t>pupil voice;</w:t>
      </w:r>
    </w:p>
    <w:p>
      <w:pPr>
        <w:pStyle w:val="Normal"/>
        <w:numPr>
          <w:ilvl w:val="0"/>
          <w:numId w:val="10"/>
        </w:numPr>
        <w:spacing w:lineRule="auto" w:line="264"/>
        <w:rPr>
          <w:rFonts w:ascii="Calibri" w:hAnsi="Calibri" w:cs="Calibri"/>
          <w:sz w:val="24"/>
          <w:lang w:val="en-GB"/>
        </w:rPr>
      </w:pPr>
      <w:r>
        <w:rPr>
          <w:rFonts w:cs="Calibri" w:ascii="Calibri" w:hAnsi="Calibri"/>
          <w:sz w:val="24"/>
          <w:lang w:val="en-GB"/>
        </w:rPr>
        <w:t>governor consideration and approval.</w:t>
      </w:r>
    </w:p>
    <w:p>
      <w:pPr>
        <w:pStyle w:val="Normal"/>
        <w:spacing w:lineRule="auto" w:line="264"/>
        <w:rPr>
          <w:rFonts w:ascii="Calibri" w:hAnsi="Calibri" w:cs="Calibri"/>
          <w:sz w:val="24"/>
          <w:lang w:val="en-GB"/>
        </w:rPr>
      </w:pPr>
      <w:r>
        <w:rPr>
          <w:rFonts w:cs="Calibri" w:ascii="Calibri" w:hAnsi="Calibri"/>
          <w:sz w:val="24"/>
          <w:lang w:val="en-GB"/>
        </w:rPr>
        <w:t>For the 2026 revision, the school will ensure that parents are proactively consulted before approval and that pupils' views are considered as part of curriculum development.</w:t>
      </w:r>
    </w:p>
    <w:p>
      <w:pPr>
        <w:pStyle w:val="Normal"/>
        <w:spacing w:lineRule="auto" w:line="264"/>
        <w:rPr>
          <w:rFonts w:ascii="Calibri" w:hAnsi="Calibri" w:cs="Calibri"/>
          <w:sz w:val="24"/>
          <w:lang w:val="en-GB"/>
        </w:rPr>
      </w:pPr>
      <w:r>
        <w:rPr>
          <w:rFonts w:cs="Calibri" w:ascii="Calibri" w:hAnsi="Calibri"/>
          <w:sz w:val="24"/>
          <w:lang w:val="en-GB"/>
        </w:rPr>
        <w:t>The school will retain records of consultation and review.</w:t>
      </w:r>
    </w:p>
    <w:p>
      <w:pPr>
        <w:pStyle w:val="Normal"/>
        <w:spacing w:lineRule="auto" w:line="264"/>
        <w:rPr/>
      </w:pPr>
      <w:r>
        <w:rPr>
          <w:rFonts w:cs="Calibri" w:ascii="Calibri" w:hAnsi="Calibri"/>
          <w:sz w:val="24"/>
          <w:lang w:val="en-GB"/>
        </w:rPr>
        <w:t xml:space="preserve">The policy will be published on the school's website and will be provided free of charge to anyone who requests a copy. </w:t>
      </w:r>
      <w:r>
        <w:rPr>
          <w:rFonts w:cs="Calibri" w:ascii="Calibri" w:hAnsi="Calibri"/>
          <w:b/>
          <w:bCs/>
          <w:sz w:val="24"/>
          <w:lang w:val="en-GB"/>
        </w:rPr>
        <w:t>G</w:t>
      </w:r>
      <w:r>
        <w:rPr>
          <w:rFonts w:cs="Calibri" w:ascii="Calibri" w:hAnsi="Calibri"/>
          <w:sz w:val="24"/>
          <w:lang w:val="en-GB"/>
        </w:rPr>
        <w:t>OV.UK+1</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3"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1bodycopy10pt"/>
      </w:pPr>
      <w:r>
        <w:t>The school will also seek appropriate pupil voice when reviewing the curriculum so that provision remains relevant, engaging and responsive to pupils' needs.</w:t>
      </w:r>
    </w:p>
    <w:p>
      <w:pPr>
        <w:pStyle w:val="Heading1"/>
        <w:spacing w:lineRule="auto" w:line="264"/>
        <w:rPr>
          <w:rFonts w:ascii="Calibri" w:hAnsi="Calibri" w:cs="Calibri"/>
          <w:b/>
          <w:bCs/>
          <w:sz w:val="24"/>
          <w:lang w:val="en-GB"/>
        </w:rPr>
      </w:pPr>
      <w:r>
        <w:rPr>
          <w:rFonts w:cs="Calibri" w:ascii="Calibri" w:hAnsi="Calibri"/>
          <w:b/>
          <w:bCs/>
          <w:sz w:val="24"/>
          <w:lang w:val="en-GB"/>
        </w:rPr>
        <w:t>24. Policy review</w:t>
      </w:r>
    </w:p>
    <w:p>
      <w:pPr>
        <w:pStyle w:val="Normal"/>
        <w:spacing w:lineRule="auto" w:line="264"/>
        <w:rPr>
          <w:rFonts w:ascii="Calibri" w:hAnsi="Calibri" w:cs="Calibri"/>
          <w:sz w:val="24"/>
          <w:lang w:val="en-GB"/>
        </w:rPr>
      </w:pPr>
      <w:r>
        <w:rPr>
          <w:rFonts w:cs="Calibri" w:ascii="Calibri" w:hAnsi="Calibri"/>
          <w:sz w:val="24"/>
          <w:lang w:val="en-GB"/>
        </w:rPr>
        <w:t>This policy will be reviewed annually by the governing body, or sooner where:</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statutory guidance changes;</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legislation changes;</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significant safeguarding issues arise;</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curriculum content requires substantial amendment;</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monitoring identifies a need for change;</w:t>
      </w:r>
    </w:p>
    <w:p>
      <w:pPr>
        <w:pStyle w:val="Normal"/>
        <w:numPr>
          <w:ilvl w:val="0"/>
          <w:numId w:val="18"/>
        </w:numPr>
        <w:spacing w:lineRule="auto" w:line="264"/>
        <w:rPr>
          <w:rFonts w:ascii="Calibri" w:hAnsi="Calibri" w:cs="Calibri"/>
          <w:sz w:val="24"/>
          <w:lang w:val="en-GB"/>
        </w:rPr>
      </w:pPr>
      <w:r>
        <w:rPr>
          <w:rFonts w:cs="Calibri" w:ascii="Calibri" w:hAnsi="Calibri"/>
          <w:sz w:val="24"/>
          <w:lang w:val="en-GB"/>
        </w:rPr>
        <w:t>significant changes are made to the school's provision.</w:t>
      </w:r>
    </w:p>
    <w:p>
      <w:pPr>
        <w:pStyle w:val="Normal"/>
        <w:spacing w:lineRule="auto" w:line="264"/>
        <w:rPr>
          <w:rFonts w:ascii="Calibri" w:hAnsi="Calibri" w:cs="Calibri"/>
          <w:sz w:val="24"/>
          <w:lang w:val="en-GB"/>
        </w:rPr>
      </w:pPr>
      <w:r>
        <w:rPr>
          <w:rFonts w:cs="Calibri" w:ascii="Calibri" w:hAnsi="Calibri"/>
          <w:sz w:val="24"/>
          <w:lang w:val="en-GB"/>
        </w:rPr>
        <w:t>Parents will be consulted before the policy is revised and approved.</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4"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Appendix 1: Curriculum overview</w:t>
      </w:r>
    </w:p>
    <w:p>
      <w:pPr>
        <w:pStyle w:val="Normal"/>
        <w:spacing w:lineRule="auto" w:line="264"/>
        <w:rPr>
          <w:rFonts w:ascii="Calibri" w:hAnsi="Calibri" w:cs="Calibri"/>
          <w:sz w:val="24"/>
          <w:lang w:val="en-GB"/>
        </w:rPr>
      </w:pPr>
      <w:r>
        <w:rPr>
          <w:rFonts w:cs="Calibri" w:ascii="Calibri" w:hAnsi="Calibri"/>
          <w:sz w:val="24"/>
          <w:lang w:val="en-GB"/>
        </w:rPr>
        <w:t>The school's detailed curriculum map will set out when and how pupils encounter the statutory Relationships Education content.</w:t>
      </w:r>
    </w:p>
    <w:p>
      <w:pPr>
        <w:pStyle w:val="Normal"/>
        <w:spacing w:lineRule="auto" w:line="264"/>
        <w:rPr>
          <w:rFonts w:ascii="Calibri" w:hAnsi="Calibri" w:cs="Calibri"/>
          <w:sz w:val="24"/>
          <w:lang w:val="en-GB"/>
        </w:rPr>
      </w:pPr>
      <w:r>
        <w:rPr>
          <w:rFonts w:cs="Calibri" w:ascii="Calibri" w:hAnsi="Calibri"/>
          <w:sz w:val="24"/>
          <w:lang w:val="en-GB"/>
        </w:rPr>
        <w:t>The curriculum will ensure progression across:</w:t>
      </w:r>
    </w:p>
    <w:p>
      <w:pPr>
        <w:pStyle w:val="Normal"/>
        <w:numPr>
          <w:ilvl w:val="0"/>
          <w:numId w:val="30"/>
        </w:numPr>
        <w:spacing w:lineRule="auto" w:line="264"/>
        <w:rPr>
          <w:rFonts w:ascii="Calibri" w:hAnsi="Calibri" w:cs="Calibri"/>
          <w:sz w:val="24"/>
          <w:lang w:val="en-GB"/>
        </w:rPr>
      </w:pPr>
      <w:r>
        <w:rPr>
          <w:rFonts w:cs="Calibri" w:ascii="Calibri" w:hAnsi="Calibri"/>
          <w:sz w:val="24"/>
          <w:lang w:val="en-GB"/>
        </w:rPr>
        <w:t>Families and people who care for me</w:t>
      </w:r>
    </w:p>
    <w:p>
      <w:pPr>
        <w:pStyle w:val="Normal"/>
        <w:numPr>
          <w:ilvl w:val="0"/>
          <w:numId w:val="30"/>
        </w:numPr>
        <w:spacing w:lineRule="auto" w:line="264"/>
        <w:rPr>
          <w:rFonts w:ascii="Calibri" w:hAnsi="Calibri" w:cs="Calibri"/>
          <w:sz w:val="24"/>
          <w:lang w:val="en-GB"/>
        </w:rPr>
      </w:pPr>
      <w:r>
        <w:rPr>
          <w:rFonts w:cs="Calibri" w:ascii="Calibri" w:hAnsi="Calibri"/>
          <w:sz w:val="24"/>
          <w:lang w:val="en-GB"/>
        </w:rPr>
        <w:t>Caring friendships</w:t>
      </w:r>
    </w:p>
    <w:p>
      <w:pPr>
        <w:pStyle w:val="Normal"/>
        <w:numPr>
          <w:ilvl w:val="0"/>
          <w:numId w:val="30"/>
        </w:numPr>
        <w:spacing w:lineRule="auto" w:line="264"/>
        <w:rPr>
          <w:rFonts w:ascii="Calibri" w:hAnsi="Calibri" w:cs="Calibri"/>
          <w:sz w:val="24"/>
          <w:lang w:val="en-GB"/>
        </w:rPr>
      </w:pPr>
      <w:r>
        <w:rPr>
          <w:rFonts w:cs="Calibri" w:ascii="Calibri" w:hAnsi="Calibri"/>
          <w:sz w:val="24"/>
          <w:lang w:val="en-GB"/>
        </w:rPr>
        <w:t>Respectful, kind relationships</w:t>
      </w:r>
    </w:p>
    <w:p>
      <w:pPr>
        <w:pStyle w:val="Normal"/>
        <w:numPr>
          <w:ilvl w:val="0"/>
          <w:numId w:val="30"/>
        </w:numPr>
        <w:spacing w:lineRule="auto" w:line="264"/>
        <w:rPr>
          <w:rFonts w:ascii="Calibri" w:hAnsi="Calibri" w:cs="Calibri"/>
          <w:sz w:val="24"/>
          <w:lang w:val="en-GB"/>
        </w:rPr>
      </w:pPr>
      <w:r>
        <w:rPr>
          <w:rFonts w:cs="Calibri" w:ascii="Calibri" w:hAnsi="Calibri"/>
          <w:sz w:val="24"/>
          <w:lang w:val="en-GB"/>
        </w:rPr>
        <w:t>Online safety and awareness</w:t>
      </w:r>
    </w:p>
    <w:p>
      <w:pPr>
        <w:pStyle w:val="Normal"/>
        <w:numPr>
          <w:ilvl w:val="0"/>
          <w:numId w:val="30"/>
        </w:numPr>
        <w:spacing w:lineRule="auto" w:line="264"/>
        <w:rPr>
          <w:rFonts w:ascii="Calibri" w:hAnsi="Calibri" w:cs="Calibri"/>
          <w:sz w:val="24"/>
          <w:lang w:val="en-GB"/>
        </w:rPr>
      </w:pPr>
      <w:r>
        <w:rPr>
          <w:rFonts w:cs="Calibri" w:ascii="Calibri" w:hAnsi="Calibri"/>
          <w:sz w:val="24"/>
          <w:lang w:val="en-GB"/>
        </w:rPr>
        <w:t>Being safe</w:t>
      </w:r>
    </w:p>
    <w:p>
      <w:pPr>
        <w:pStyle w:val="Normal"/>
        <w:spacing w:lineRule="auto" w:line="264"/>
        <w:rPr>
          <w:rFonts w:ascii="Calibri" w:hAnsi="Calibri" w:cs="Calibri"/>
          <w:sz w:val="24"/>
          <w:lang w:val="en-GB"/>
        </w:rPr>
      </w:pPr>
      <w:r>
        <w:rPr>
          <w:rFonts w:cs="Calibri" w:ascii="Calibri" w:hAnsi="Calibri"/>
          <w:sz w:val="24"/>
          <w:lang w:val="en-GB"/>
        </w:rPr>
        <w:t>This will be complemented by statutory Health Education, Science and the school's wider PSHE and personal development curriculum.</w:t>
      </w:r>
    </w:p>
    <w:p>
      <w:pPr>
        <w:pStyle w:val="Normal"/>
        <w:spacing w:lineRule="auto" w:line="264"/>
        <w:rPr>
          <w:rFonts w:ascii="Calibri" w:hAnsi="Calibri" w:cs="Calibri"/>
          <w:sz w:val="24"/>
          <w:lang w:val="en-GB"/>
        </w:rPr>
      </w:pPr>
      <w:r>
        <w:rPr>
          <w:rFonts w:cs="Calibri" w:ascii="Calibri" w:hAnsi="Calibri"/>
          <w:sz w:val="24"/>
          <w:lang w:val="en-GB"/>
        </w:rPr>
      </w:r>
    </w:p>
    <w:p>
      <w:pPr>
        <w:pStyle w:val="Normal"/>
        <w:spacing w:lineRule="auto" w:line="264"/>
        <w:rPr>
          <w:rFonts w:ascii="Calibri" w:hAnsi="Calibri" w:cs="Calibri"/>
          <w:sz w:val="24"/>
          <w:lang w:val="en-GB"/>
        </w:rPr>
      </w:pPr>
      <w:r>
        <w:rPr>
          <w:rFonts w:cs="Calibri" w:ascii="Calibri" w:hAnsi="Calibri"/>
          <w:sz w:val="24"/>
          <w:lang w:val="en-GB"/>
        </w:rPr>
      </w:r>
    </w:p>
    <w:p>
      <w:pPr>
        <w:pStyle w:val="Normal"/>
        <w:spacing w:lineRule="auto" w:line="264"/>
        <w:rPr>
          <w:rFonts w:ascii="Calibri" w:hAnsi="Calibri" w:cs="Calibri"/>
          <w:sz w:val="24"/>
          <w:lang w:val="en-GB"/>
        </w:rPr>
      </w:pPr>
      <w:r>
        <w:rPr>
          <w:rFonts w:cs="Calibri" w:ascii="Calibri" w:hAnsi="Calibri"/>
          <w:sz w:val="24"/>
          <w:lang w:val="en-GB"/>
        </w:rPr>
      </w:r>
    </w:p>
    <w:p>
      <w:pPr>
        <w:pStyle w:val="Normal"/>
        <w:spacing w:lineRule="auto" w:line="264"/>
        <w:rPr>
          <w:rFonts w:ascii="Calibri" w:hAnsi="Calibri" w:cs="Calibri"/>
          <w:sz w:val="24"/>
          <w:lang w:val="en-GB"/>
        </w:rPr>
      </w:pPr>
      <w:r>
        <w:rPr>
          <w:rFonts w:cs="Calibri" w:ascii="Calibri" w:hAnsi="Calibri"/>
          <w:sz w:val="24"/>
          <w:lang w:val="en-GB"/>
        </w:rPr>
      </w:r>
    </w:p>
    <w:tbl>
      <w:tblPr>
        <w:tblW w:w="15871" w:type="dxa"/>
        <w:jc w:val="left"/>
        <w:tblInd w:w="0" w:type="dxa"/>
        <w:tblLayout w:type="fixed"/>
        <w:tblCellMar>
          <w:top w:w="0" w:type="dxa"/>
          <w:left w:w="108" w:type="dxa"/>
          <w:bottom w:w="0" w:type="dxa"/>
          <w:right w:w="108" w:type="dxa"/>
        </w:tblCellMar>
      </w:tblPr>
      <w:tblGrid>
        <w:gridCol w:w="1838"/>
        <w:gridCol w:w="2268"/>
        <w:gridCol w:w="2410"/>
        <w:gridCol w:w="2307"/>
        <w:gridCol w:w="2512"/>
        <w:gridCol w:w="2268"/>
        <w:gridCol w:w="2268"/>
      </w:tblGrid>
      <w:tr>
        <w:trPr/>
        <w:tc>
          <w:tcPr>
            <w:tcW w:w="1838" w:type="dxa"/>
            <w:tcBorders>
              <w:top w:val="single" w:sz="4" w:space="0" w:color="000000"/>
              <w:left w:val="single" w:sz="4" w:space="0" w:color="000000"/>
              <w:bottom w:val="single" w:sz="4" w:space="0" w:color="000000"/>
              <w:right w:val="single" w:sz="4" w:space="0" w:color="000000"/>
            </w:tcBorders>
            <w:shd w:fill="C00000" w:val="clear"/>
          </w:tcPr>
          <w:p>
            <w:pPr>
              <w:pStyle w:val="Normal"/>
              <w:snapToGrid w:val="false"/>
              <w:rPr>
                <w:rFonts w:cs="Arial"/>
                <w:b/>
                <w:sz w:val="24"/>
              </w:rPr>
            </w:pPr>
            <w:r>
              <w:rPr>
                <w:rFonts w:cs="Arial"/>
                <w:b/>
                <w:sz w:val="24"/>
              </w:rPr>
            </w:r>
          </w:p>
          <w:p>
            <w:pPr>
              <w:pStyle w:val="Normal"/>
              <w:spacing w:before="0" w:after="120"/>
              <w:rPr>
                <w:rFonts w:cs="Arial"/>
                <w:b/>
                <w:sz w:val="24"/>
              </w:rPr>
            </w:pPr>
            <w:r>
              <w:rPr>
                <w:rFonts w:cs="Arial"/>
                <w:b/>
                <w:sz w:val="24"/>
              </w:rPr>
              <w:t>Year/Half-termly unit titles</w:t>
            </w:r>
          </w:p>
        </w:tc>
        <w:tc>
          <w:tcPr>
            <w:tcW w:w="2268"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1</w:t>
            </w:r>
          </w:p>
          <w:p>
            <w:pPr>
              <w:pStyle w:val="Normal"/>
              <w:spacing w:before="0" w:after="120"/>
              <w:jc w:val="center"/>
              <w:rPr>
                <w:rFonts w:cs="Arial"/>
                <w:b/>
              </w:rPr>
            </w:pPr>
            <w:r>
              <w:rPr>
                <w:rFonts w:cs="Arial"/>
                <w:b/>
              </w:rPr>
              <w:t>Me and my Relationships</w:t>
            </w:r>
          </w:p>
        </w:tc>
        <w:tc>
          <w:tcPr>
            <w:tcW w:w="2410"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2</w:t>
            </w:r>
          </w:p>
          <w:p>
            <w:pPr>
              <w:pStyle w:val="Normal"/>
              <w:spacing w:before="0" w:after="120"/>
              <w:jc w:val="center"/>
              <w:rPr>
                <w:rFonts w:cs="Arial"/>
                <w:b/>
              </w:rPr>
            </w:pPr>
            <w:r>
              <w:rPr>
                <w:rFonts w:cs="Arial"/>
                <w:b/>
              </w:rPr>
              <w:t>Valuing Difference</w:t>
            </w:r>
          </w:p>
        </w:tc>
        <w:tc>
          <w:tcPr>
            <w:tcW w:w="2307"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3</w:t>
            </w:r>
          </w:p>
          <w:p>
            <w:pPr>
              <w:pStyle w:val="Normal"/>
              <w:spacing w:before="0" w:after="120"/>
              <w:jc w:val="center"/>
              <w:rPr>
                <w:rFonts w:cs="Arial"/>
                <w:b/>
              </w:rPr>
            </w:pPr>
            <w:r>
              <w:rPr>
                <w:rFonts w:cs="Arial"/>
                <w:b/>
              </w:rPr>
              <w:t>Keeping Safe</w:t>
            </w:r>
          </w:p>
        </w:tc>
        <w:tc>
          <w:tcPr>
            <w:tcW w:w="2512"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4</w:t>
            </w:r>
          </w:p>
          <w:p>
            <w:pPr>
              <w:pStyle w:val="Normal"/>
              <w:spacing w:before="0" w:after="120"/>
              <w:jc w:val="center"/>
              <w:rPr>
                <w:rFonts w:cs="Arial"/>
                <w:b/>
              </w:rPr>
            </w:pPr>
            <w:r>
              <w:rPr>
                <w:rFonts w:cs="Arial"/>
                <w:b/>
              </w:rPr>
              <w:t>Rights and Respect</w:t>
            </w:r>
          </w:p>
        </w:tc>
        <w:tc>
          <w:tcPr>
            <w:tcW w:w="2268"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5</w:t>
            </w:r>
          </w:p>
          <w:p>
            <w:pPr>
              <w:pStyle w:val="Normal"/>
              <w:spacing w:before="0" w:after="120"/>
              <w:jc w:val="center"/>
              <w:rPr>
                <w:rFonts w:cs="Arial"/>
                <w:b/>
              </w:rPr>
            </w:pPr>
            <w:r>
              <w:rPr>
                <w:rFonts w:cs="Arial"/>
                <w:b/>
              </w:rPr>
              <w:t>Being my Best</w:t>
            </w:r>
          </w:p>
        </w:tc>
        <w:tc>
          <w:tcPr>
            <w:tcW w:w="2268" w:type="dxa"/>
            <w:tcBorders>
              <w:top w:val="single" w:sz="4" w:space="0" w:color="000000"/>
              <w:left w:val="single" w:sz="4" w:space="0" w:color="000000"/>
              <w:bottom w:val="single" w:sz="4" w:space="0" w:color="000000"/>
              <w:right w:val="single" w:sz="4" w:space="0" w:color="000000"/>
            </w:tcBorders>
            <w:shd w:fill="C00000" w:val="clear"/>
          </w:tcPr>
          <w:p>
            <w:pPr>
              <w:pStyle w:val="Normal"/>
              <w:jc w:val="center"/>
              <w:rPr>
                <w:rFonts w:cs="Arial"/>
                <w:b/>
                <w:sz w:val="24"/>
              </w:rPr>
            </w:pPr>
            <w:r>
              <w:rPr>
                <w:rFonts w:cs="Arial"/>
                <w:b/>
                <w:sz w:val="24"/>
              </w:rPr>
              <w:t>6</w:t>
            </w:r>
          </w:p>
          <w:p>
            <w:pPr>
              <w:pStyle w:val="Normal"/>
              <w:spacing w:before="0" w:after="120"/>
              <w:jc w:val="center"/>
              <w:rPr>
                <w:rFonts w:cs="Arial"/>
                <w:b/>
              </w:rPr>
            </w:pPr>
            <w:r>
              <w:rPr>
                <w:rFonts w:cs="Arial"/>
                <w:b/>
              </w:rPr>
              <w:t>Growing and Changing</w:t>
            </w:r>
          </w:p>
        </w:tc>
      </w:tr>
      <w:tr>
        <w:trPr/>
        <w:tc>
          <w:tcPr>
            <w:tcW w:w="183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t>EYFS</w:t>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cs="Arial"/>
                <w:sz w:val="18"/>
                <w:szCs w:val="18"/>
              </w:rPr>
            </w:pPr>
            <w:r>
              <w:rPr>
                <w:rFonts w:cs="Arial"/>
                <w:sz w:val="18"/>
                <w:szCs w:val="18"/>
              </w:rPr>
              <w:t>What makes me special</w:t>
            </w:r>
          </w:p>
          <w:p>
            <w:pPr>
              <w:pStyle w:val="Normal"/>
              <w:spacing w:lineRule="auto" w:line="276"/>
              <w:rPr>
                <w:rFonts w:cs="Arial"/>
                <w:sz w:val="18"/>
                <w:szCs w:val="18"/>
              </w:rPr>
            </w:pPr>
            <w:r>
              <w:rPr>
                <w:rFonts w:cs="Arial"/>
                <w:sz w:val="18"/>
                <w:szCs w:val="18"/>
              </w:rPr>
              <w:t>People close to me</w:t>
            </w:r>
          </w:p>
          <w:p>
            <w:pPr>
              <w:pStyle w:val="Normal"/>
              <w:spacing w:lineRule="auto" w:line="276" w:before="0" w:after="120"/>
              <w:rPr>
                <w:rFonts w:cs="Arial"/>
                <w:sz w:val="18"/>
                <w:szCs w:val="18"/>
              </w:rPr>
            </w:pPr>
            <w:r>
              <w:rPr>
                <w:rFonts w:cs="Arial"/>
                <w:sz w:val="18"/>
                <w:szCs w:val="18"/>
              </w:rPr>
              <w:t>Getting help</w:t>
            </w:r>
          </w:p>
        </w:tc>
        <w:tc>
          <w:tcPr>
            <w:tcW w:w="241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cs="Arial"/>
                <w:sz w:val="18"/>
                <w:szCs w:val="18"/>
              </w:rPr>
            </w:pPr>
            <w:r>
              <w:rPr>
                <w:rFonts w:cs="Arial"/>
                <w:sz w:val="18"/>
                <w:szCs w:val="18"/>
              </w:rPr>
              <w:t>Similarities and difference</w:t>
            </w:r>
          </w:p>
          <w:p>
            <w:pPr>
              <w:pStyle w:val="Normal"/>
              <w:spacing w:lineRule="auto" w:line="276"/>
              <w:rPr>
                <w:rFonts w:cs="Arial"/>
                <w:sz w:val="18"/>
                <w:szCs w:val="18"/>
              </w:rPr>
            </w:pPr>
            <w:r>
              <w:rPr>
                <w:rFonts w:cs="Arial"/>
                <w:sz w:val="18"/>
                <w:szCs w:val="18"/>
              </w:rPr>
              <w:t>Celebrating difference</w:t>
            </w:r>
          </w:p>
          <w:p>
            <w:pPr>
              <w:pStyle w:val="Normal"/>
              <w:spacing w:lineRule="auto" w:line="276" w:before="0" w:after="120"/>
              <w:rPr>
                <w:rFonts w:cs="Arial"/>
                <w:sz w:val="18"/>
                <w:szCs w:val="18"/>
              </w:rPr>
            </w:pPr>
            <w:r>
              <w:rPr>
                <w:rFonts w:cs="Arial"/>
                <w:sz w:val="18"/>
                <w:szCs w:val="18"/>
              </w:rPr>
              <w:t>Showing kindness</w:t>
            </w:r>
          </w:p>
        </w:tc>
        <w:tc>
          <w:tcPr>
            <w:tcW w:w="2307" w:type="dxa"/>
            <w:tcBorders>
              <w:top w:val="single" w:sz="4" w:space="0" w:color="000000"/>
              <w:left w:val="single" w:sz="4" w:space="0" w:color="000000"/>
              <w:bottom w:val="single" w:sz="4" w:space="0" w:color="000000"/>
              <w:right w:val="single" w:sz="4" w:space="0" w:color="000000"/>
            </w:tcBorders>
          </w:tcPr>
          <w:p>
            <w:pPr>
              <w:pStyle w:val="Normal"/>
              <w:spacing w:lineRule="auto" w:line="276"/>
              <w:rPr/>
            </w:pPr>
            <w:r>
              <w:rPr>
                <w:rFonts w:cs="Arial"/>
                <w:sz w:val="18"/>
                <w:szCs w:val="18"/>
              </w:rPr>
              <w:t>Keeping my body safe</w:t>
            </w:r>
          </w:p>
          <w:p>
            <w:pPr>
              <w:pStyle w:val="Normal"/>
              <w:spacing w:lineRule="auto" w:line="276"/>
              <w:rPr>
                <w:rFonts w:cs="Arial"/>
                <w:sz w:val="18"/>
                <w:szCs w:val="18"/>
              </w:rPr>
            </w:pPr>
            <w:r>
              <w:rPr>
                <w:rFonts w:cs="Arial"/>
                <w:sz w:val="18"/>
                <w:szCs w:val="18"/>
              </w:rPr>
              <w:t>Safe secrets and touches</w:t>
            </w:r>
          </w:p>
          <w:p>
            <w:pPr>
              <w:pStyle w:val="Normal"/>
              <w:spacing w:lineRule="auto" w:line="276" w:before="0" w:after="120"/>
              <w:rPr>
                <w:rFonts w:cs="Arial"/>
                <w:sz w:val="18"/>
                <w:szCs w:val="18"/>
              </w:rPr>
            </w:pPr>
            <w:r>
              <w:rPr>
                <w:rFonts w:cs="Arial"/>
                <w:sz w:val="18"/>
                <w:szCs w:val="18"/>
              </w:rPr>
              <w:t>People who help to keep us safe</w:t>
            </w:r>
          </w:p>
        </w:tc>
        <w:tc>
          <w:tcPr>
            <w:tcW w:w="2512"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120"/>
              <w:rPr>
                <w:rFonts w:cs="Arial"/>
                <w:sz w:val="18"/>
                <w:szCs w:val="18"/>
              </w:rPr>
            </w:pPr>
            <w:r>
              <w:rPr>
                <w:rFonts w:cs="Arial"/>
                <w:sz w:val="18"/>
                <w:szCs w:val="18"/>
              </w:rPr>
              <w:t>Looking after things: friends, environment, money</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cs="Arial"/>
                <w:sz w:val="18"/>
                <w:szCs w:val="18"/>
              </w:rPr>
            </w:pPr>
            <w:r>
              <w:rPr>
                <w:rFonts w:cs="Arial"/>
                <w:sz w:val="18"/>
                <w:szCs w:val="18"/>
              </w:rPr>
              <w:t>Keeping by body healthy – food, exercise, sleep</w:t>
            </w:r>
          </w:p>
          <w:p>
            <w:pPr>
              <w:pStyle w:val="Normal"/>
              <w:spacing w:lineRule="auto" w:line="276" w:before="0" w:after="120"/>
              <w:rPr>
                <w:rFonts w:cs="Arial"/>
                <w:sz w:val="18"/>
                <w:szCs w:val="18"/>
              </w:rPr>
            </w:pPr>
            <w:r>
              <w:rPr>
                <w:rFonts w:cs="Arial"/>
                <w:sz w:val="18"/>
                <w:szCs w:val="18"/>
              </w:rPr>
              <w:t>Growth Mindset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cs="Arial"/>
                <w:sz w:val="18"/>
                <w:szCs w:val="18"/>
              </w:rPr>
            </w:pPr>
            <w:r>
              <w:rPr>
                <w:rFonts w:cs="Arial"/>
                <w:sz w:val="18"/>
                <w:szCs w:val="18"/>
              </w:rPr>
              <w:t>Cycles</w:t>
            </w:r>
          </w:p>
          <w:p>
            <w:pPr>
              <w:pStyle w:val="Normal"/>
              <w:spacing w:lineRule="auto" w:line="276"/>
              <w:rPr>
                <w:rFonts w:cs="Arial"/>
                <w:sz w:val="18"/>
                <w:szCs w:val="18"/>
              </w:rPr>
            </w:pPr>
            <w:r>
              <w:rPr>
                <w:rFonts w:cs="Arial"/>
                <w:sz w:val="18"/>
                <w:szCs w:val="18"/>
              </w:rPr>
              <w:t>Life stages</w:t>
            </w:r>
          </w:p>
          <w:p>
            <w:pPr>
              <w:pStyle w:val="Normal"/>
              <w:spacing w:lineRule="auto" w:line="276" w:before="0" w:after="120"/>
              <w:rPr>
                <w:rFonts w:cs="Arial"/>
                <w:sz w:val="18"/>
                <w:szCs w:val="18"/>
              </w:rPr>
            </w:pPr>
            <w:r>
              <w:rPr>
                <w:rFonts w:cs="Arial"/>
                <w:sz w:val="18"/>
                <w:szCs w:val="18"/>
              </w:rPr>
              <w:t>Girls and boys – similarities and difference</w:t>
            </w:r>
          </w:p>
        </w:tc>
      </w:tr>
      <w:tr>
        <w:trPr/>
        <w:tc>
          <w:tcPr>
            <w:tcW w:w="1838" w:type="dxa"/>
            <w:tcBorders>
              <w:top w:val="single" w:sz="4" w:space="0" w:color="000000"/>
              <w:left w:val="single" w:sz="4" w:space="0" w:color="000000"/>
              <w:bottom w:val="single" w:sz="4" w:space="0" w:color="000000"/>
              <w:right w:val="single" w:sz="4" w:space="0" w:color="000000"/>
            </w:tcBorders>
            <w:shd w:fill="FAE2D5" w:val="clear"/>
          </w:tcPr>
          <w:p>
            <w:pPr>
              <w:pStyle w:val="Normal"/>
              <w:snapToGrid w:val="false"/>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t>Y1</w:t>
            </w:r>
          </w:p>
          <w:p>
            <w:pPr>
              <w:pStyle w:val="Normal"/>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Feelings</w:t>
            </w:r>
          </w:p>
          <w:p>
            <w:pPr>
              <w:pStyle w:val="Normal"/>
              <w:spacing w:lineRule="auto" w:line="276"/>
              <w:rPr>
                <w:rFonts w:cs="Arial"/>
                <w:sz w:val="18"/>
                <w:szCs w:val="18"/>
              </w:rPr>
            </w:pPr>
            <w:r>
              <w:rPr>
                <w:rFonts w:cs="Arial"/>
                <w:sz w:val="18"/>
                <w:szCs w:val="18"/>
              </w:rPr>
              <w:t>Getting help</w:t>
            </w:r>
          </w:p>
          <w:p>
            <w:pPr>
              <w:pStyle w:val="Normal"/>
              <w:spacing w:lineRule="auto" w:line="276"/>
              <w:rPr>
                <w:rFonts w:cs="Arial"/>
                <w:sz w:val="18"/>
                <w:szCs w:val="18"/>
              </w:rPr>
            </w:pPr>
            <w:r>
              <w:rPr>
                <w:rFonts w:cs="Arial"/>
                <w:sz w:val="18"/>
                <w:szCs w:val="18"/>
              </w:rPr>
              <w:t>Classroom rules</w:t>
            </w:r>
          </w:p>
          <w:p>
            <w:pPr>
              <w:pStyle w:val="Normal"/>
              <w:spacing w:lineRule="auto" w:line="276"/>
              <w:rPr>
                <w:rFonts w:cs="Arial"/>
                <w:sz w:val="18"/>
                <w:szCs w:val="18"/>
              </w:rPr>
            </w:pPr>
            <w:r>
              <w:rPr>
                <w:rFonts w:cs="Arial"/>
                <w:sz w:val="18"/>
                <w:szCs w:val="18"/>
              </w:rPr>
              <w:t>Special people</w:t>
            </w:r>
          </w:p>
          <w:p>
            <w:pPr>
              <w:pStyle w:val="Normal"/>
              <w:spacing w:lineRule="auto" w:line="276" w:before="0" w:after="120"/>
              <w:rPr>
                <w:rFonts w:cs="Arial"/>
                <w:sz w:val="18"/>
                <w:szCs w:val="18"/>
              </w:rPr>
            </w:pPr>
            <w:r>
              <w:rPr>
                <w:rFonts w:cs="Arial"/>
                <w:sz w:val="18"/>
                <w:szCs w:val="18"/>
              </w:rPr>
              <w:t>Being a good friend</w:t>
            </w:r>
          </w:p>
        </w:tc>
        <w:tc>
          <w:tcPr>
            <w:tcW w:w="2410"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Recognising, valuing and celebrating difference</w:t>
            </w:r>
          </w:p>
          <w:p>
            <w:pPr>
              <w:pStyle w:val="Normal"/>
              <w:spacing w:lineRule="auto" w:line="276"/>
              <w:rPr>
                <w:rFonts w:cs="Arial"/>
                <w:sz w:val="18"/>
                <w:szCs w:val="18"/>
              </w:rPr>
            </w:pPr>
            <w:r>
              <w:rPr>
                <w:rFonts w:cs="Arial"/>
                <w:sz w:val="18"/>
                <w:szCs w:val="18"/>
              </w:rPr>
              <w:t>Developing respect and accepting others</w:t>
            </w:r>
          </w:p>
          <w:p>
            <w:pPr>
              <w:pStyle w:val="Normal"/>
              <w:spacing w:lineRule="auto" w:line="276" w:before="0" w:after="120"/>
              <w:rPr>
                <w:rFonts w:cs="Arial"/>
                <w:sz w:val="18"/>
                <w:szCs w:val="18"/>
              </w:rPr>
            </w:pPr>
            <w:r>
              <w:rPr>
                <w:rFonts w:cs="Arial"/>
                <w:sz w:val="18"/>
                <w:szCs w:val="18"/>
              </w:rPr>
              <w:t>Bullying and getting help</w:t>
            </w:r>
          </w:p>
        </w:tc>
        <w:tc>
          <w:tcPr>
            <w:tcW w:w="2307"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How our feelings can keep us safe – including online safety</w:t>
            </w:r>
          </w:p>
          <w:p>
            <w:pPr>
              <w:pStyle w:val="Normal"/>
              <w:spacing w:lineRule="auto" w:line="276"/>
              <w:rPr/>
            </w:pPr>
            <w:r>
              <w:rPr>
                <w:rFonts w:cs="Arial"/>
                <w:sz w:val="18"/>
                <w:szCs w:val="18"/>
              </w:rPr>
              <w:t>Safe and unsafe touches</w:t>
            </w:r>
          </w:p>
          <w:p>
            <w:pPr>
              <w:pStyle w:val="Normal"/>
              <w:spacing w:lineRule="auto" w:line="276"/>
              <w:rPr>
                <w:rFonts w:cs="Arial"/>
                <w:sz w:val="18"/>
                <w:szCs w:val="18"/>
              </w:rPr>
            </w:pPr>
            <w:r>
              <w:rPr>
                <w:rFonts w:cs="Arial"/>
                <w:sz w:val="18"/>
                <w:szCs w:val="18"/>
              </w:rPr>
              <w:t>Medicine Safety</w:t>
            </w:r>
          </w:p>
          <w:p>
            <w:pPr>
              <w:pStyle w:val="Normal"/>
              <w:spacing w:lineRule="auto" w:line="276" w:before="0" w:after="120"/>
              <w:rPr>
                <w:rFonts w:cs="Arial"/>
                <w:sz w:val="18"/>
                <w:szCs w:val="18"/>
              </w:rPr>
            </w:pPr>
            <w:r>
              <w:rPr>
                <w:rFonts w:cs="Arial"/>
                <w:sz w:val="18"/>
                <w:szCs w:val="18"/>
              </w:rPr>
              <w:t>Sleep</w:t>
            </w:r>
          </w:p>
        </w:tc>
        <w:tc>
          <w:tcPr>
            <w:tcW w:w="2512"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Taking care of things:</w:t>
            </w:r>
          </w:p>
          <w:p>
            <w:pPr>
              <w:pStyle w:val="Normal"/>
              <w:spacing w:lineRule="auto" w:line="276"/>
              <w:rPr>
                <w:rFonts w:cs="Arial"/>
                <w:sz w:val="18"/>
                <w:szCs w:val="18"/>
              </w:rPr>
            </w:pPr>
            <w:r>
              <w:rPr>
                <w:rFonts w:cs="Arial"/>
                <w:sz w:val="18"/>
                <w:szCs w:val="18"/>
              </w:rPr>
              <w:t>Myself</w:t>
            </w:r>
          </w:p>
          <w:p>
            <w:pPr>
              <w:pStyle w:val="Normal"/>
              <w:spacing w:lineRule="auto" w:line="276"/>
              <w:rPr>
                <w:rFonts w:cs="Arial"/>
                <w:sz w:val="18"/>
                <w:szCs w:val="18"/>
              </w:rPr>
            </w:pPr>
            <w:r>
              <w:rPr>
                <w:rFonts w:cs="Arial"/>
                <w:sz w:val="18"/>
                <w:szCs w:val="18"/>
              </w:rPr>
              <w:t>My money</w:t>
            </w:r>
          </w:p>
          <w:p>
            <w:pPr>
              <w:pStyle w:val="Normal"/>
              <w:spacing w:lineRule="auto" w:line="276" w:before="0" w:after="120"/>
              <w:rPr>
                <w:rFonts w:cs="Arial"/>
                <w:sz w:val="18"/>
                <w:szCs w:val="18"/>
              </w:rPr>
            </w:pPr>
            <w:r>
              <w:rPr>
                <w:rFonts w:cs="Arial"/>
                <w:sz w:val="18"/>
                <w:szCs w:val="18"/>
              </w:rPr>
              <w:t>My environment</w:t>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Growth Mindset</w:t>
            </w:r>
          </w:p>
          <w:p>
            <w:pPr>
              <w:pStyle w:val="Normal"/>
              <w:spacing w:lineRule="auto" w:line="276"/>
              <w:rPr>
                <w:rFonts w:cs="Arial"/>
                <w:sz w:val="18"/>
                <w:szCs w:val="18"/>
              </w:rPr>
            </w:pPr>
            <w:r>
              <w:rPr>
                <w:rFonts w:cs="Arial"/>
                <w:sz w:val="18"/>
                <w:szCs w:val="18"/>
              </w:rPr>
              <w:t>Healthy eating</w:t>
            </w:r>
          </w:p>
          <w:p>
            <w:pPr>
              <w:pStyle w:val="Normal"/>
              <w:spacing w:lineRule="auto" w:line="276"/>
              <w:rPr>
                <w:rFonts w:cs="Arial"/>
                <w:sz w:val="18"/>
                <w:szCs w:val="18"/>
              </w:rPr>
            </w:pPr>
            <w:r>
              <w:rPr>
                <w:rFonts w:cs="Arial"/>
                <w:sz w:val="18"/>
                <w:szCs w:val="18"/>
              </w:rPr>
              <w:t>Hygiene and health</w:t>
            </w:r>
          </w:p>
          <w:p>
            <w:pPr>
              <w:pStyle w:val="Normal"/>
              <w:spacing w:lineRule="auto" w:line="276" w:before="0" w:after="120"/>
              <w:rPr>
                <w:rFonts w:cs="Arial"/>
                <w:sz w:val="18"/>
                <w:szCs w:val="18"/>
              </w:rPr>
            </w:pPr>
            <w:r>
              <w:rPr>
                <w:rFonts w:cs="Arial"/>
                <w:sz w:val="18"/>
                <w:szCs w:val="18"/>
              </w:rPr>
              <w:t>Cooperation</w:t>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Getting help</w:t>
            </w:r>
          </w:p>
          <w:p>
            <w:pPr>
              <w:pStyle w:val="Normal"/>
              <w:spacing w:lineRule="auto" w:line="276"/>
              <w:rPr>
                <w:rFonts w:cs="Arial"/>
                <w:sz w:val="18"/>
                <w:szCs w:val="18"/>
              </w:rPr>
            </w:pPr>
            <w:r>
              <w:rPr>
                <w:rFonts w:cs="Arial"/>
                <w:sz w:val="18"/>
                <w:szCs w:val="18"/>
              </w:rPr>
              <w:t>Becoming independent</w:t>
            </w:r>
          </w:p>
          <w:p>
            <w:pPr>
              <w:pStyle w:val="Normal"/>
              <w:spacing w:lineRule="auto" w:line="276"/>
              <w:rPr>
                <w:rFonts w:cs="Arial"/>
                <w:sz w:val="18"/>
                <w:szCs w:val="18"/>
              </w:rPr>
            </w:pPr>
            <w:r>
              <w:rPr>
                <w:rFonts w:cs="Arial"/>
                <w:sz w:val="18"/>
                <w:szCs w:val="18"/>
              </w:rPr>
              <w:t>My body parts</w:t>
            </w:r>
          </w:p>
          <w:p>
            <w:pPr>
              <w:pStyle w:val="Normal"/>
              <w:spacing w:lineRule="auto" w:line="276" w:before="0" w:after="120"/>
              <w:rPr>
                <w:rFonts w:cs="Arial"/>
                <w:sz w:val="18"/>
                <w:szCs w:val="18"/>
              </w:rPr>
            </w:pPr>
            <w:r>
              <w:rPr>
                <w:rFonts w:cs="Arial"/>
                <w:sz w:val="18"/>
                <w:szCs w:val="18"/>
              </w:rPr>
              <w:t>Taking care of self and others</w:t>
            </w:r>
          </w:p>
        </w:tc>
      </w:tr>
      <w:tr>
        <w:trPr/>
        <w:tc>
          <w:tcPr>
            <w:tcW w:w="183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t>Y2</w:t>
            </w:r>
          </w:p>
          <w:p>
            <w:pPr>
              <w:pStyle w:val="Normal"/>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eastAsia="Times New Roman" w:cs="Arial"/>
                <w:sz w:val="18"/>
                <w:szCs w:val="18"/>
              </w:rPr>
            </w:pPr>
            <w:r>
              <w:rPr>
                <w:rFonts w:eastAsia="Times New Roman" w:cs="Arial"/>
                <w:bCs/>
                <w:sz w:val="18"/>
                <w:szCs w:val="18"/>
              </w:rPr>
              <w:t>Bullying and teasing</w:t>
            </w:r>
          </w:p>
          <w:p>
            <w:pPr>
              <w:pStyle w:val="Normal"/>
              <w:spacing w:lineRule="auto" w:line="276"/>
              <w:rPr>
                <w:rFonts w:eastAsia="Times New Roman" w:cs="Arial"/>
                <w:sz w:val="18"/>
                <w:szCs w:val="18"/>
              </w:rPr>
            </w:pPr>
            <w:r>
              <w:rPr>
                <w:rFonts w:eastAsia="Times New Roman" w:cs="Arial"/>
                <w:sz w:val="18"/>
                <w:szCs w:val="18"/>
              </w:rPr>
              <w:t>Our school rules about bullying</w:t>
            </w:r>
          </w:p>
          <w:p>
            <w:pPr>
              <w:pStyle w:val="Normal"/>
              <w:spacing w:lineRule="auto" w:line="276"/>
              <w:rPr>
                <w:rFonts w:eastAsia="Times New Roman" w:cs="Arial"/>
                <w:sz w:val="18"/>
                <w:szCs w:val="18"/>
              </w:rPr>
            </w:pPr>
            <w:r>
              <w:rPr>
                <w:rFonts w:eastAsia="Times New Roman" w:cs="Arial"/>
                <w:bCs/>
                <w:sz w:val="18"/>
                <w:szCs w:val="18"/>
              </w:rPr>
              <w:t>Being a good friend</w:t>
            </w:r>
          </w:p>
          <w:p>
            <w:pPr>
              <w:pStyle w:val="Normal"/>
              <w:spacing w:lineRule="auto" w:line="276" w:before="0" w:after="120"/>
              <w:rPr>
                <w:rFonts w:cs="Arial"/>
                <w:sz w:val="18"/>
                <w:szCs w:val="18"/>
              </w:rPr>
            </w:pPr>
            <w:r>
              <w:rPr>
                <w:rFonts w:eastAsia="Times New Roman" w:cs="Arial"/>
                <w:bCs/>
                <w:sz w:val="18"/>
                <w:szCs w:val="18"/>
              </w:rPr>
              <w:t>Feelings/self-regulation</w:t>
            </w:r>
          </w:p>
        </w:tc>
        <w:tc>
          <w:tcPr>
            <w:tcW w:w="2410" w:type="dxa"/>
            <w:tcBorders>
              <w:top w:val="single" w:sz="4" w:space="0" w:color="000000"/>
              <w:left w:val="single" w:sz="4" w:space="0" w:color="000000"/>
              <w:bottom w:val="single" w:sz="4" w:space="0" w:color="000000"/>
              <w:right w:val="single" w:sz="4" w:space="0" w:color="000000"/>
            </w:tcBorders>
          </w:tcPr>
          <w:p>
            <w:pPr>
              <w:pStyle w:val="Normal"/>
              <w:spacing w:lineRule="atLeast" w:line="0"/>
              <w:ind w:hanging="113" w:right="113"/>
              <w:rPr>
                <w:rFonts w:cs="Arial"/>
                <w:bCs/>
                <w:sz w:val="18"/>
                <w:szCs w:val="18"/>
              </w:rPr>
            </w:pPr>
            <w:r>
              <w:rPr>
                <w:rFonts w:eastAsia="Arial" w:cs="Arial"/>
                <w:bCs/>
                <w:sz w:val="18"/>
                <w:szCs w:val="18"/>
              </w:rPr>
              <w:t xml:space="preserve">  </w:t>
            </w:r>
            <w:r>
              <w:rPr>
                <w:rFonts w:eastAsia="Times New Roman" w:cs="Arial"/>
                <w:bCs/>
                <w:sz w:val="18"/>
                <w:szCs w:val="18"/>
              </w:rPr>
              <w:t>Being kind and helping others</w:t>
            </w:r>
          </w:p>
          <w:p>
            <w:pPr>
              <w:pStyle w:val="Normal"/>
              <w:spacing w:lineRule="atLeast" w:line="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Celebrating difference</w:t>
            </w:r>
          </w:p>
          <w:p>
            <w:pPr>
              <w:pStyle w:val="Normal"/>
              <w:spacing w:lineRule="atLeast" w:line="0"/>
              <w:ind w:hanging="113" w:right="113"/>
              <w:rPr>
                <w:rFonts w:cs="Arial"/>
                <w:bCs/>
                <w:sz w:val="18"/>
                <w:szCs w:val="18"/>
              </w:rPr>
            </w:pPr>
            <w:r>
              <w:rPr>
                <w:rFonts w:eastAsia="Arial" w:cs="Arial"/>
                <w:bCs/>
                <w:sz w:val="18"/>
                <w:szCs w:val="18"/>
              </w:rPr>
              <w:t xml:space="preserve"> </w:t>
            </w:r>
            <w:r>
              <w:rPr>
                <w:rFonts w:eastAsia="Times New Roman" w:cs="Arial"/>
                <w:bCs/>
                <w:sz w:val="18"/>
                <w:szCs w:val="18"/>
              </w:rPr>
              <w:t>People who help us</w:t>
            </w:r>
          </w:p>
          <w:p>
            <w:pPr>
              <w:pStyle w:val="Normal"/>
              <w:spacing w:lineRule="atLeast" w:line="0" w:before="0" w:after="12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Listening Skills</w:t>
            </w:r>
          </w:p>
        </w:tc>
        <w:tc>
          <w:tcPr>
            <w:tcW w:w="2307" w:type="dxa"/>
            <w:tcBorders>
              <w:top w:val="single" w:sz="4" w:space="0" w:color="000000"/>
              <w:left w:val="single" w:sz="4" w:space="0" w:color="000000"/>
              <w:bottom w:val="single" w:sz="4" w:space="0" w:color="000000"/>
              <w:right w:val="single" w:sz="4" w:space="0" w:color="000000"/>
            </w:tcBorders>
          </w:tcPr>
          <w:p>
            <w:pPr>
              <w:pStyle w:val="Normal"/>
              <w:spacing w:lineRule="atLeast" w:line="0"/>
              <w:ind w:right="113"/>
              <w:rPr>
                <w:rFonts w:eastAsia="Times New Roman" w:cs="Arial"/>
                <w:sz w:val="18"/>
                <w:szCs w:val="18"/>
              </w:rPr>
            </w:pPr>
            <w:r>
              <w:rPr>
                <w:rFonts w:eastAsia="Times New Roman" w:cs="Arial"/>
                <w:bCs/>
                <w:sz w:val="18"/>
                <w:szCs w:val="18"/>
              </w:rPr>
              <w:t>Safe and unsafe secrets</w:t>
            </w:r>
          </w:p>
          <w:p>
            <w:pPr>
              <w:pStyle w:val="Normal"/>
              <w:spacing w:lineRule="atLeast" w:line="0"/>
              <w:ind w:right="113"/>
              <w:rPr>
                <w:rFonts w:eastAsia="Times New Roman" w:cs="Arial"/>
                <w:bCs/>
                <w:sz w:val="18"/>
                <w:szCs w:val="18"/>
              </w:rPr>
            </w:pPr>
            <w:r>
              <w:rPr>
                <w:rFonts w:eastAsia="Times New Roman" w:cs="Arial"/>
                <w:bCs/>
                <w:sz w:val="18"/>
                <w:szCs w:val="18"/>
              </w:rPr>
            </w:r>
          </w:p>
          <w:p>
            <w:pPr>
              <w:pStyle w:val="Normal"/>
              <w:spacing w:lineRule="atLeast" w:line="0"/>
              <w:ind w:right="113"/>
              <w:rPr>
                <w:rFonts w:eastAsia="Times New Roman" w:cs="Arial"/>
                <w:bCs/>
                <w:sz w:val="18"/>
                <w:szCs w:val="18"/>
              </w:rPr>
            </w:pPr>
            <w:r>
              <w:rPr>
                <w:rFonts w:eastAsia="Times New Roman" w:cs="Arial"/>
                <w:bCs/>
                <w:sz w:val="18"/>
                <w:szCs w:val="18"/>
              </w:rPr>
              <w:t xml:space="preserve">Appropriate touch </w:t>
            </w:r>
          </w:p>
          <w:p>
            <w:pPr>
              <w:pStyle w:val="Normal"/>
              <w:spacing w:lineRule="atLeast" w:line="0"/>
              <w:ind w:right="113"/>
              <w:rPr>
                <w:rFonts w:eastAsia="Times New Roman" w:cs="Arial"/>
                <w:bCs/>
                <w:sz w:val="18"/>
                <w:szCs w:val="18"/>
              </w:rPr>
            </w:pPr>
            <w:r>
              <w:rPr>
                <w:rFonts w:eastAsia="Times New Roman" w:cs="Arial"/>
                <w:bCs/>
                <w:sz w:val="18"/>
                <w:szCs w:val="18"/>
              </w:rPr>
            </w:r>
          </w:p>
          <w:p>
            <w:pPr>
              <w:pStyle w:val="Normal"/>
              <w:spacing w:lineRule="atLeast" w:line="0"/>
              <w:ind w:right="113"/>
              <w:rPr>
                <w:rFonts w:eastAsia="Times New Roman" w:cs="Arial"/>
                <w:sz w:val="18"/>
                <w:szCs w:val="18"/>
              </w:rPr>
            </w:pPr>
            <w:r>
              <w:rPr>
                <w:rFonts w:eastAsia="Times New Roman" w:cs="Arial"/>
                <w:bCs/>
                <w:sz w:val="18"/>
                <w:szCs w:val="18"/>
              </w:rPr>
              <w:t>Medicine safety</w:t>
            </w:r>
          </w:p>
          <w:p>
            <w:pPr>
              <w:pStyle w:val="Normal"/>
              <w:spacing w:lineRule="auto" w:line="276" w:before="0" w:after="120"/>
              <w:rPr>
                <w:rFonts w:eastAsia="Times New Roman" w:cs="Arial"/>
                <w:sz w:val="18"/>
                <w:szCs w:val="18"/>
              </w:rPr>
            </w:pPr>
            <w:r>
              <w:rPr>
                <w:rFonts w:eastAsia="Times New Roman" w:cs="Arial"/>
                <w:sz w:val="18"/>
                <w:szCs w:val="18"/>
              </w:rPr>
            </w:r>
          </w:p>
        </w:tc>
        <w:tc>
          <w:tcPr>
            <w:tcW w:w="2512"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eastAsia="Times New Roman" w:cs="Arial"/>
                <w:bCs/>
                <w:sz w:val="18"/>
                <w:szCs w:val="18"/>
              </w:rPr>
            </w:pPr>
            <w:r>
              <w:rPr>
                <w:rFonts w:eastAsia="Times New Roman" w:cs="Arial"/>
                <w:bCs/>
                <w:sz w:val="18"/>
                <w:szCs w:val="18"/>
              </w:rPr>
              <w:t>Cooperation</w:t>
            </w:r>
          </w:p>
          <w:p>
            <w:pPr>
              <w:pStyle w:val="Normal"/>
              <w:spacing w:lineRule="auto" w:line="276"/>
              <w:rPr/>
            </w:pPr>
            <w:r>
              <w:rPr>
                <w:rFonts w:eastAsia="Times New Roman" w:cs="Arial"/>
                <w:bCs/>
                <w:sz w:val="18"/>
                <w:szCs w:val="18"/>
              </w:rPr>
              <w:t>Self-regulation</w:t>
            </w:r>
          </w:p>
          <w:p>
            <w:pPr>
              <w:pStyle w:val="Normal"/>
              <w:spacing w:lineRule="auto" w:line="276"/>
              <w:rPr>
                <w:rFonts w:eastAsia="Times New Roman" w:cs="Arial"/>
                <w:bCs/>
                <w:sz w:val="18"/>
                <w:szCs w:val="18"/>
              </w:rPr>
            </w:pPr>
            <w:r>
              <w:rPr>
                <w:rFonts w:eastAsia="Times New Roman" w:cs="Arial"/>
                <w:bCs/>
                <w:sz w:val="18"/>
                <w:szCs w:val="18"/>
              </w:rPr>
              <w:t>Online safety</w:t>
            </w:r>
          </w:p>
          <w:p>
            <w:pPr>
              <w:pStyle w:val="Normal"/>
              <w:spacing w:lineRule="auto" w:line="276" w:before="0" w:after="120"/>
              <w:rPr>
                <w:rFonts w:cs="Arial"/>
                <w:sz w:val="18"/>
                <w:szCs w:val="18"/>
              </w:rPr>
            </w:pPr>
            <w:r>
              <w:rPr>
                <w:rFonts w:eastAsia="Times New Roman" w:cs="Arial"/>
                <w:bCs/>
                <w:sz w:val="18"/>
                <w:szCs w:val="18"/>
              </w:rPr>
              <w:t>Looking after money – saving and spending</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cs="Arial"/>
                <w:sz w:val="18"/>
                <w:szCs w:val="18"/>
              </w:rPr>
            </w:pPr>
            <w:r>
              <w:rPr>
                <w:rFonts w:cs="Arial"/>
                <w:sz w:val="18"/>
                <w:szCs w:val="18"/>
              </w:rPr>
              <w:t>Growth Mindset</w:t>
            </w:r>
          </w:p>
          <w:p>
            <w:pPr>
              <w:pStyle w:val="Normal"/>
              <w:spacing w:lineRule="auto" w:line="276"/>
              <w:rPr>
                <w:rFonts w:cs="Arial"/>
                <w:sz w:val="18"/>
                <w:szCs w:val="18"/>
              </w:rPr>
            </w:pPr>
            <w:r>
              <w:rPr>
                <w:rFonts w:cs="Arial"/>
                <w:sz w:val="18"/>
                <w:szCs w:val="18"/>
              </w:rPr>
              <w:t>Looking after my body</w:t>
            </w:r>
          </w:p>
          <w:p>
            <w:pPr>
              <w:pStyle w:val="Normal"/>
              <w:spacing w:lineRule="auto" w:line="276"/>
              <w:rPr>
                <w:rFonts w:cs="Arial"/>
                <w:sz w:val="18"/>
                <w:szCs w:val="18"/>
              </w:rPr>
            </w:pPr>
            <w:r>
              <w:rPr>
                <w:rFonts w:cs="Arial"/>
                <w:sz w:val="18"/>
                <w:szCs w:val="18"/>
              </w:rPr>
              <w:t>Hygiene and health</w:t>
            </w:r>
          </w:p>
          <w:p>
            <w:pPr>
              <w:pStyle w:val="Normal"/>
              <w:spacing w:lineRule="auto" w:line="276" w:before="0" w:after="120"/>
              <w:rPr>
                <w:rFonts w:cs="Arial"/>
                <w:sz w:val="18"/>
                <w:szCs w:val="18"/>
              </w:rPr>
            </w:pPr>
            <w:r>
              <w:rPr>
                <w:rFonts w:cs="Arial"/>
                <w:sz w:val="18"/>
                <w:szCs w:val="18"/>
              </w:rPr>
              <w:t>Exercise and sleep</w:t>
            </w:r>
          </w:p>
        </w:tc>
        <w:tc>
          <w:tcPr>
            <w:tcW w:w="2268" w:type="dxa"/>
            <w:tcBorders>
              <w:top w:val="single" w:sz="4" w:space="0" w:color="000000"/>
              <w:left w:val="single" w:sz="4" w:space="0" w:color="000000"/>
              <w:bottom w:val="single" w:sz="4" w:space="0" w:color="000000"/>
              <w:right w:val="single" w:sz="4" w:space="0" w:color="000000"/>
            </w:tcBorders>
          </w:tcPr>
          <w:p>
            <w:pPr>
              <w:pStyle w:val="Normal"/>
              <w:rPr>
                <w:rFonts w:eastAsia="Times New Roman" w:cs="Arial"/>
                <w:sz w:val="18"/>
                <w:szCs w:val="18"/>
              </w:rPr>
            </w:pPr>
            <w:r>
              <w:rPr>
                <w:rFonts w:eastAsia="Times New Roman" w:cs="Arial"/>
                <w:bCs/>
                <w:sz w:val="18"/>
                <w:szCs w:val="18"/>
              </w:rPr>
              <w:t>Life cycles</w:t>
            </w:r>
          </w:p>
          <w:p>
            <w:pPr>
              <w:pStyle w:val="Normal"/>
              <w:spacing w:lineRule="atLeast" w:line="0"/>
              <w:rPr>
                <w:rFonts w:eastAsia="Times New Roman" w:cs="Arial"/>
                <w:sz w:val="18"/>
                <w:szCs w:val="18"/>
              </w:rPr>
            </w:pPr>
            <w:r>
              <w:rPr>
                <w:rFonts w:eastAsia="Times New Roman" w:cs="Arial"/>
                <w:bCs/>
                <w:sz w:val="18"/>
                <w:szCs w:val="18"/>
              </w:rPr>
              <w:t>Dealing with loss</w:t>
            </w:r>
          </w:p>
          <w:p>
            <w:pPr>
              <w:pStyle w:val="Normal"/>
              <w:spacing w:lineRule="auto" w:line="276"/>
              <w:rPr>
                <w:rFonts w:eastAsia="Times New Roman" w:cs="Arial"/>
                <w:bCs/>
                <w:sz w:val="18"/>
                <w:szCs w:val="18"/>
              </w:rPr>
            </w:pPr>
            <w:r>
              <w:rPr>
                <w:rFonts w:eastAsia="Times New Roman" w:cs="Arial"/>
                <w:bCs/>
                <w:sz w:val="18"/>
                <w:szCs w:val="18"/>
              </w:rPr>
              <w:t>Being supportive</w:t>
            </w:r>
          </w:p>
          <w:p>
            <w:pPr>
              <w:pStyle w:val="Normal"/>
              <w:spacing w:lineRule="auto" w:line="276"/>
              <w:rPr>
                <w:rFonts w:eastAsia="Times New Roman" w:cs="Arial"/>
                <w:bCs/>
                <w:sz w:val="18"/>
                <w:szCs w:val="18"/>
              </w:rPr>
            </w:pPr>
            <w:r>
              <w:rPr>
                <w:rFonts w:eastAsia="Times New Roman" w:cs="Arial"/>
                <w:bCs/>
                <w:sz w:val="18"/>
                <w:szCs w:val="18"/>
              </w:rPr>
              <w:t>Growing and changing</w:t>
            </w:r>
          </w:p>
          <w:p>
            <w:pPr>
              <w:pStyle w:val="Normal"/>
              <w:spacing w:lineRule="auto" w:line="276" w:before="0" w:after="120"/>
              <w:rPr>
                <w:rFonts w:cs="Arial"/>
                <w:sz w:val="18"/>
                <w:szCs w:val="18"/>
              </w:rPr>
            </w:pPr>
            <w:r>
              <w:rPr>
                <w:rFonts w:eastAsia="Times New Roman" w:cs="Arial"/>
                <w:bCs/>
                <w:sz w:val="18"/>
                <w:szCs w:val="18"/>
              </w:rPr>
              <w:t>Privacy</w:t>
            </w:r>
          </w:p>
        </w:tc>
      </w:tr>
      <w:tr>
        <w:trPr>
          <w:trHeight w:val="1230" w:hRule="atLeast"/>
        </w:trPr>
        <w:tc>
          <w:tcPr>
            <w:tcW w:w="1838" w:type="dxa"/>
            <w:tcBorders>
              <w:top w:val="single" w:sz="4" w:space="0" w:color="000000"/>
              <w:left w:val="single" w:sz="4" w:space="0" w:color="000000"/>
              <w:bottom w:val="single" w:sz="4" w:space="0" w:color="000000"/>
              <w:right w:val="single" w:sz="4" w:space="0" w:color="000000"/>
            </w:tcBorders>
            <w:shd w:fill="FAE2D5" w:val="clear"/>
          </w:tcPr>
          <w:p>
            <w:pPr>
              <w:pStyle w:val="Normal"/>
              <w:snapToGrid w:val="false"/>
              <w:jc w:val="center"/>
              <w:rPr>
                <w:rFonts w:cs="Arial"/>
                <w:b/>
                <w:sz w:val="23"/>
                <w:szCs w:val="23"/>
              </w:rPr>
            </w:pPr>
            <w:r>
              <w:rPr>
                <w:rFonts w:cs="Arial"/>
                <w:b/>
                <w:sz w:val="23"/>
                <w:szCs w:val="23"/>
              </w:rPr>
            </w:r>
          </w:p>
          <w:p>
            <w:pPr>
              <w:pStyle w:val="Normal"/>
              <w:jc w:val="center"/>
              <w:rPr>
                <w:rFonts w:cs="Arial"/>
                <w:b/>
                <w:sz w:val="23"/>
                <w:szCs w:val="23"/>
              </w:rPr>
            </w:pPr>
            <w:r>
              <w:rPr>
                <w:rFonts w:cs="Arial"/>
                <w:b/>
                <w:sz w:val="23"/>
                <w:szCs w:val="23"/>
              </w:rPr>
              <w:t>Y3</w:t>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uto" w:line="276"/>
              <w:rPr>
                <w:rFonts w:cs="Arial"/>
                <w:sz w:val="18"/>
                <w:szCs w:val="18"/>
              </w:rPr>
            </w:pPr>
            <w:r>
              <w:rPr>
                <w:rFonts w:cs="Arial"/>
                <w:sz w:val="18"/>
                <w:szCs w:val="18"/>
              </w:rPr>
              <w:t>Rules and their purpose</w:t>
            </w:r>
          </w:p>
          <w:p>
            <w:pPr>
              <w:pStyle w:val="Normal"/>
              <w:spacing w:lineRule="auto" w:line="276"/>
              <w:rPr>
                <w:rFonts w:cs="Arial"/>
                <w:sz w:val="18"/>
                <w:szCs w:val="18"/>
              </w:rPr>
            </w:pPr>
            <w:r>
              <w:rPr>
                <w:rFonts w:cs="Arial"/>
                <w:sz w:val="18"/>
                <w:szCs w:val="18"/>
              </w:rPr>
              <w:t>Cooperation</w:t>
            </w:r>
          </w:p>
          <w:p>
            <w:pPr>
              <w:pStyle w:val="Normal"/>
              <w:spacing w:lineRule="auto" w:line="276"/>
              <w:rPr>
                <w:rFonts w:cs="Arial"/>
                <w:sz w:val="18"/>
                <w:szCs w:val="18"/>
              </w:rPr>
            </w:pPr>
            <w:r>
              <w:rPr>
                <w:rFonts w:cs="Arial"/>
                <w:sz w:val="18"/>
                <w:szCs w:val="18"/>
              </w:rPr>
              <w:t>Friendship (including respectful relationships)</w:t>
            </w:r>
          </w:p>
          <w:p>
            <w:pPr>
              <w:pStyle w:val="Normal"/>
              <w:spacing w:lineRule="auto" w:line="276" w:before="0" w:after="120"/>
              <w:rPr>
                <w:rFonts w:cs="Arial"/>
                <w:sz w:val="18"/>
                <w:szCs w:val="18"/>
              </w:rPr>
            </w:pPr>
            <w:r>
              <w:rPr>
                <w:rFonts w:cs="Arial"/>
                <w:sz w:val="18"/>
                <w:szCs w:val="18"/>
              </w:rPr>
              <w:t>Coping with loss</w:t>
            </w:r>
          </w:p>
        </w:tc>
        <w:tc>
          <w:tcPr>
            <w:tcW w:w="2410" w:type="dxa"/>
            <w:tcBorders>
              <w:top w:val="single" w:sz="4" w:space="0" w:color="000000"/>
              <w:left w:val="single" w:sz="4" w:space="0" w:color="000000"/>
              <w:bottom w:val="single" w:sz="4" w:space="0" w:color="000000"/>
              <w:right w:val="single" w:sz="4" w:space="0" w:color="000000"/>
            </w:tcBorders>
            <w:shd w:fill="FAE2D5" w:val="clear"/>
          </w:tcPr>
          <w:p>
            <w:pPr>
              <w:pStyle w:val="Normal"/>
              <w:rPr>
                <w:rFonts w:eastAsia="Times New Roman" w:cs="Arial"/>
                <w:sz w:val="18"/>
                <w:szCs w:val="18"/>
              </w:rPr>
            </w:pPr>
            <w:r>
              <w:rPr>
                <w:rFonts w:eastAsia="Times New Roman" w:cs="Arial"/>
                <w:bCs/>
                <w:sz w:val="18"/>
                <w:szCs w:val="18"/>
              </w:rPr>
              <w:t>Recognising and respecting diversity</w:t>
            </w:r>
          </w:p>
          <w:p>
            <w:pPr>
              <w:pStyle w:val="Normal"/>
              <w:spacing w:lineRule="atLeast" w:line="0"/>
              <w:rPr>
                <w:rFonts w:eastAsia="Times New Roman" w:cs="Arial"/>
                <w:bCs/>
                <w:sz w:val="18"/>
                <w:szCs w:val="18"/>
              </w:rPr>
            </w:pPr>
            <w:r>
              <w:rPr>
                <w:rFonts w:eastAsia="Times New Roman" w:cs="Arial"/>
                <w:bCs/>
                <w:sz w:val="18"/>
                <w:szCs w:val="18"/>
              </w:rPr>
              <w:t xml:space="preserve">Being respectful and tolerant </w:t>
            </w:r>
          </w:p>
          <w:p>
            <w:pPr>
              <w:pStyle w:val="Normal"/>
              <w:spacing w:lineRule="atLeast" w:line="0" w:before="0" w:after="120"/>
              <w:rPr>
                <w:rFonts w:eastAsia="Times New Roman" w:cs="Arial"/>
                <w:sz w:val="18"/>
                <w:szCs w:val="18"/>
              </w:rPr>
            </w:pPr>
            <w:r>
              <w:rPr>
                <w:rFonts w:eastAsia="Times New Roman" w:cs="Arial"/>
                <w:bCs/>
                <w:sz w:val="18"/>
                <w:szCs w:val="18"/>
              </w:rPr>
              <w:t>My community</w:t>
            </w:r>
          </w:p>
        </w:tc>
        <w:tc>
          <w:tcPr>
            <w:tcW w:w="2307"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ind w:right="113"/>
              <w:rPr>
                <w:rFonts w:eastAsia="Times New Roman" w:cs="Arial"/>
                <w:bCs/>
                <w:sz w:val="18"/>
                <w:szCs w:val="18"/>
              </w:rPr>
            </w:pPr>
            <w:r>
              <w:rPr>
                <w:rFonts w:eastAsia="Times New Roman" w:cs="Arial"/>
                <w:bCs/>
                <w:sz w:val="18"/>
                <w:szCs w:val="18"/>
              </w:rPr>
              <w:t>Managing risk</w:t>
            </w:r>
          </w:p>
          <w:p>
            <w:pPr>
              <w:pStyle w:val="Normal"/>
              <w:spacing w:lineRule="atLeast" w:line="0"/>
              <w:ind w:right="113"/>
              <w:rPr>
                <w:rFonts w:eastAsia="Times New Roman" w:cs="Arial"/>
                <w:bCs/>
                <w:sz w:val="18"/>
                <w:szCs w:val="18"/>
              </w:rPr>
            </w:pPr>
            <w:r>
              <w:rPr>
                <w:rFonts w:eastAsia="Times New Roman" w:cs="Arial"/>
                <w:bCs/>
                <w:sz w:val="18"/>
                <w:szCs w:val="18"/>
              </w:rPr>
              <w:t>Decision-making skills</w:t>
            </w:r>
          </w:p>
          <w:p>
            <w:pPr>
              <w:pStyle w:val="Normal"/>
              <w:spacing w:lineRule="atLeast" w:line="0"/>
              <w:ind w:right="113"/>
              <w:rPr>
                <w:rFonts w:eastAsia="Times New Roman" w:cs="Arial"/>
                <w:sz w:val="18"/>
                <w:szCs w:val="18"/>
              </w:rPr>
            </w:pPr>
            <w:r>
              <w:rPr>
                <w:rFonts w:eastAsia="Times New Roman" w:cs="Arial"/>
                <w:bCs/>
                <w:sz w:val="18"/>
                <w:szCs w:val="18"/>
              </w:rPr>
              <w:t>Drugs and their risks</w:t>
            </w:r>
          </w:p>
          <w:p>
            <w:pPr>
              <w:pStyle w:val="Normal"/>
              <w:spacing w:lineRule="atLeast" w:line="0" w:before="0" w:after="12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Staying safe online</w:t>
            </w:r>
          </w:p>
        </w:tc>
        <w:tc>
          <w:tcPr>
            <w:tcW w:w="2512"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rPr>
                <w:rFonts w:eastAsia="Times New Roman" w:cs="Arial"/>
                <w:sz w:val="18"/>
                <w:szCs w:val="18"/>
              </w:rPr>
            </w:pPr>
            <w:r>
              <w:rPr>
                <w:rFonts w:eastAsia="Times New Roman" w:cs="Arial"/>
                <w:bCs/>
                <w:sz w:val="18"/>
                <w:szCs w:val="18"/>
              </w:rPr>
              <w:t>Skills we need to develop as we grow up</w:t>
            </w:r>
          </w:p>
          <w:p>
            <w:pPr>
              <w:pStyle w:val="Normal"/>
              <w:spacing w:lineRule="atLeast" w:line="0"/>
              <w:rPr>
                <w:rFonts w:eastAsia="Times New Roman" w:cs="Arial"/>
                <w:bCs/>
                <w:sz w:val="18"/>
                <w:szCs w:val="18"/>
              </w:rPr>
            </w:pPr>
            <w:r>
              <w:rPr>
                <w:rFonts w:eastAsia="Times New Roman" w:cs="Arial"/>
                <w:bCs/>
                <w:sz w:val="18"/>
                <w:szCs w:val="18"/>
              </w:rPr>
              <w:t>Helping and being helped</w:t>
            </w:r>
          </w:p>
          <w:p>
            <w:pPr>
              <w:pStyle w:val="Normal"/>
              <w:spacing w:lineRule="atLeast" w:line="0"/>
              <w:rPr>
                <w:rFonts w:eastAsia="Times New Roman" w:cs="Arial"/>
                <w:bCs/>
                <w:sz w:val="18"/>
                <w:szCs w:val="18"/>
              </w:rPr>
            </w:pPr>
            <w:r>
              <w:rPr>
                <w:rFonts w:eastAsia="Times New Roman" w:cs="Arial"/>
                <w:bCs/>
                <w:sz w:val="18"/>
                <w:szCs w:val="18"/>
              </w:rPr>
              <w:t>Looking after the environment</w:t>
            </w:r>
          </w:p>
          <w:p>
            <w:pPr>
              <w:pStyle w:val="Normal"/>
              <w:spacing w:lineRule="atLeast" w:line="0" w:before="0" w:after="120"/>
              <w:rPr>
                <w:rFonts w:eastAsia="Times New Roman" w:cs="Arial"/>
                <w:sz w:val="18"/>
                <w:szCs w:val="18"/>
              </w:rPr>
            </w:pPr>
            <w:r>
              <w:rPr>
                <w:rFonts w:eastAsia="Times New Roman" w:cs="Arial"/>
                <w:bCs/>
                <w:sz w:val="18"/>
                <w:szCs w:val="18"/>
              </w:rPr>
              <w:t>Managing money</w:t>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Keeping myself healthy and well</w:t>
            </w:r>
          </w:p>
          <w:p>
            <w:pPr>
              <w:pStyle w:val="Normal"/>
              <w:spacing w:lineRule="atLeast" w:line="0"/>
              <w:ind w:hanging="113" w:right="113"/>
              <w:rPr>
                <w:rFonts w:cs="Arial"/>
                <w:bCs/>
                <w:sz w:val="18"/>
                <w:szCs w:val="18"/>
              </w:rPr>
            </w:pPr>
            <w:r>
              <w:rPr>
                <w:rFonts w:eastAsia="Arial" w:cs="Arial"/>
                <w:bCs/>
                <w:sz w:val="18"/>
                <w:szCs w:val="18"/>
              </w:rPr>
              <w:t xml:space="preserve">  </w:t>
            </w:r>
            <w:r>
              <w:rPr>
                <w:rFonts w:eastAsia="Times New Roman" w:cs="Arial"/>
                <w:bCs/>
                <w:sz w:val="18"/>
                <w:szCs w:val="18"/>
              </w:rPr>
              <w:t>Celebrating and developing my skills</w:t>
            </w:r>
          </w:p>
          <w:p>
            <w:pPr>
              <w:pStyle w:val="Normal"/>
              <w:spacing w:lineRule="atLeast" w:line="0" w:before="0" w:after="12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Developing empathy</w:t>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ind w:right="-150"/>
              <w:rPr>
                <w:rFonts w:eastAsia="Times New Roman" w:cs="Arial"/>
                <w:sz w:val="18"/>
                <w:szCs w:val="18"/>
              </w:rPr>
            </w:pPr>
            <w:r>
              <w:rPr>
                <w:rFonts w:eastAsia="Times New Roman" w:cs="Arial"/>
                <w:bCs/>
                <w:sz w:val="18"/>
                <w:szCs w:val="18"/>
              </w:rPr>
              <w:t>Relationships</w:t>
            </w:r>
          </w:p>
          <w:p>
            <w:pPr>
              <w:pStyle w:val="Normal"/>
              <w:spacing w:lineRule="atLeast" w:line="0"/>
              <w:rPr>
                <w:rFonts w:eastAsia="Times New Roman" w:cs="Arial"/>
                <w:sz w:val="18"/>
                <w:szCs w:val="18"/>
              </w:rPr>
            </w:pPr>
            <w:r>
              <w:rPr>
                <w:rFonts w:eastAsia="Times New Roman" w:cs="Arial"/>
                <w:bCs/>
                <w:sz w:val="18"/>
                <w:szCs w:val="18"/>
              </w:rPr>
              <w:t>Changing bodies and puberty</w:t>
            </w:r>
          </w:p>
          <w:p>
            <w:pPr>
              <w:pStyle w:val="Normal"/>
              <w:spacing w:lineRule="atLeast" w:line="0"/>
              <w:rPr>
                <w:rFonts w:eastAsia="Times New Roman" w:cs="Arial"/>
                <w:bCs/>
                <w:sz w:val="18"/>
                <w:szCs w:val="18"/>
              </w:rPr>
            </w:pPr>
            <w:r>
              <w:rPr>
                <w:rFonts w:eastAsia="Times New Roman" w:cs="Arial"/>
                <w:bCs/>
                <w:sz w:val="18"/>
                <w:szCs w:val="18"/>
              </w:rPr>
              <w:t>Keeping safe</w:t>
            </w:r>
          </w:p>
          <w:p>
            <w:pPr>
              <w:pStyle w:val="Normal"/>
              <w:spacing w:lineRule="atLeast" w:line="0" w:before="0" w:after="120"/>
              <w:rPr>
                <w:rFonts w:eastAsia="Times New Roman" w:cs="Arial"/>
                <w:sz w:val="18"/>
                <w:szCs w:val="18"/>
              </w:rPr>
            </w:pPr>
            <w:r>
              <w:rPr>
                <w:rFonts w:eastAsia="Times New Roman" w:cs="Arial"/>
                <w:bCs/>
                <w:sz w:val="18"/>
                <w:szCs w:val="18"/>
              </w:rPr>
              <w:t>Safe and unsafe secrets</w:t>
            </w:r>
          </w:p>
        </w:tc>
      </w:tr>
      <w:tr>
        <w:trPr/>
        <w:tc>
          <w:tcPr>
            <w:tcW w:w="183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eastAsia="Times New Roman" w:cs="Arial"/>
                <w:b/>
                <w:sz w:val="23"/>
                <w:szCs w:val="23"/>
              </w:rPr>
            </w:pPr>
            <w:r>
              <w:rPr>
                <w:rFonts w:eastAsia="Times New Roman" w:cs="Arial"/>
                <w:b/>
                <w:sz w:val="23"/>
                <w:szCs w:val="23"/>
              </w:rPr>
            </w:r>
          </w:p>
          <w:p>
            <w:pPr>
              <w:pStyle w:val="Normal"/>
              <w:jc w:val="center"/>
              <w:rPr>
                <w:rFonts w:cs="Arial"/>
                <w:b/>
                <w:sz w:val="23"/>
                <w:szCs w:val="23"/>
              </w:rPr>
            </w:pPr>
            <w:r>
              <w:rPr>
                <w:rFonts w:cs="Arial"/>
                <w:b/>
                <w:sz w:val="23"/>
                <w:szCs w:val="23"/>
              </w:rPr>
              <w:t>Y4</w:t>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tLeast" w:line="0"/>
              <w:rPr>
                <w:rFonts w:eastAsia="Times New Roman" w:cs="Arial"/>
                <w:bCs/>
                <w:sz w:val="18"/>
                <w:szCs w:val="18"/>
              </w:rPr>
            </w:pPr>
            <w:r>
              <w:rPr>
                <w:rFonts w:eastAsia="Times New Roman" w:cs="Arial"/>
                <w:bCs/>
                <w:sz w:val="18"/>
                <w:szCs w:val="18"/>
              </w:rPr>
              <w:t>Healthy relationships</w:t>
            </w:r>
          </w:p>
          <w:p>
            <w:pPr>
              <w:pStyle w:val="Normal"/>
              <w:spacing w:lineRule="atLeast" w:line="0"/>
              <w:rPr>
                <w:rFonts w:eastAsia="Times New Roman" w:cs="Arial"/>
                <w:bCs/>
                <w:sz w:val="18"/>
                <w:szCs w:val="18"/>
              </w:rPr>
            </w:pPr>
            <w:r>
              <w:rPr>
                <w:rFonts w:eastAsia="Times New Roman" w:cs="Arial"/>
                <w:bCs/>
                <w:sz w:val="18"/>
                <w:szCs w:val="18"/>
              </w:rPr>
              <w:t>Listening to feelings</w:t>
            </w:r>
          </w:p>
          <w:p>
            <w:pPr>
              <w:pStyle w:val="Normal"/>
              <w:spacing w:lineRule="atLeast" w:line="0"/>
              <w:rPr>
                <w:rFonts w:eastAsia="Times New Roman" w:cs="Arial"/>
                <w:sz w:val="18"/>
                <w:szCs w:val="18"/>
              </w:rPr>
            </w:pPr>
            <w:r>
              <w:rPr>
                <w:rFonts w:eastAsia="Times New Roman" w:cs="Arial"/>
                <w:bCs/>
                <w:sz w:val="18"/>
                <w:szCs w:val="18"/>
              </w:rPr>
              <w:t>Bullying</w:t>
            </w:r>
          </w:p>
          <w:p>
            <w:pPr>
              <w:pStyle w:val="Normal"/>
              <w:spacing w:lineRule="atLeast" w:line="0" w:before="0" w:after="120"/>
              <w:rPr>
                <w:rFonts w:eastAsia="Times New Roman" w:cs="Arial"/>
                <w:sz w:val="18"/>
                <w:szCs w:val="18"/>
              </w:rPr>
            </w:pPr>
            <w:r>
              <w:rPr>
                <w:rFonts w:eastAsia="Times New Roman" w:cs="Arial"/>
                <w:bCs/>
                <w:sz w:val="18"/>
                <w:szCs w:val="18"/>
              </w:rPr>
              <w:t xml:space="preserve">Assertive skills </w:t>
            </w:r>
          </w:p>
        </w:tc>
        <w:tc>
          <w:tcPr>
            <w:tcW w:w="2410" w:type="dxa"/>
            <w:tcBorders>
              <w:top w:val="single" w:sz="4" w:space="0" w:color="000000"/>
              <w:left w:val="single" w:sz="4" w:space="0" w:color="000000"/>
              <w:bottom w:val="single" w:sz="4" w:space="0" w:color="000000"/>
              <w:right w:val="single" w:sz="4" w:space="0" w:color="000000"/>
            </w:tcBorders>
          </w:tcPr>
          <w:p>
            <w:pPr>
              <w:pStyle w:val="Normal"/>
              <w:spacing w:lineRule="atLeast" w:line="0"/>
              <w:rPr>
                <w:rFonts w:eastAsia="Times New Roman" w:cs="Arial"/>
                <w:sz w:val="18"/>
                <w:szCs w:val="18"/>
              </w:rPr>
            </w:pPr>
            <w:r>
              <w:rPr>
                <w:rFonts w:eastAsia="Times New Roman" w:cs="Arial"/>
                <w:bCs/>
                <w:sz w:val="18"/>
                <w:szCs w:val="18"/>
              </w:rPr>
              <w:t>Recognising and celebrating difference (including religions and cultural difference)</w:t>
            </w:r>
          </w:p>
          <w:p>
            <w:pPr>
              <w:pStyle w:val="Normal"/>
              <w:spacing w:lineRule="atLeast" w:line="0" w:before="0" w:after="120"/>
              <w:rPr>
                <w:rFonts w:eastAsia="Times New Roman" w:cs="Arial"/>
                <w:sz w:val="18"/>
                <w:szCs w:val="18"/>
              </w:rPr>
            </w:pPr>
            <w:r>
              <w:rPr>
                <w:rFonts w:eastAsia="Times New Roman" w:cs="Arial"/>
                <w:bCs/>
                <w:sz w:val="18"/>
                <w:szCs w:val="18"/>
              </w:rPr>
              <w:t>Understanding and challenging stereotypes</w:t>
            </w:r>
          </w:p>
        </w:tc>
        <w:tc>
          <w:tcPr>
            <w:tcW w:w="2307" w:type="dxa"/>
            <w:tcBorders>
              <w:top w:val="single" w:sz="4" w:space="0" w:color="000000"/>
              <w:left w:val="single" w:sz="4" w:space="0" w:color="000000"/>
              <w:bottom w:val="single" w:sz="4" w:space="0" w:color="000000"/>
              <w:right w:val="single" w:sz="4" w:space="0" w:color="000000"/>
            </w:tcBorders>
          </w:tcPr>
          <w:p>
            <w:pPr>
              <w:pStyle w:val="Normal"/>
              <w:spacing w:lineRule="atLeast" w:line="0"/>
              <w:ind w:right="113"/>
              <w:rPr>
                <w:rFonts w:eastAsia="Times New Roman" w:cs="Arial"/>
                <w:sz w:val="18"/>
                <w:szCs w:val="18"/>
              </w:rPr>
            </w:pPr>
            <w:r>
              <w:rPr>
                <w:rFonts w:eastAsia="Times New Roman" w:cs="Arial"/>
                <w:bCs/>
                <w:sz w:val="18"/>
                <w:szCs w:val="18"/>
              </w:rPr>
              <w:t>Managing risk</w:t>
            </w:r>
          </w:p>
          <w:p>
            <w:pPr>
              <w:pStyle w:val="Normal"/>
              <w:ind w:left="42" w:right="0"/>
              <w:rPr>
                <w:rFonts w:eastAsia="Times New Roman" w:cs="Arial"/>
                <w:sz w:val="18"/>
                <w:szCs w:val="18"/>
              </w:rPr>
            </w:pPr>
            <w:r>
              <w:rPr>
                <w:rFonts w:eastAsia="Times New Roman" w:cs="Arial"/>
                <w:bCs/>
                <w:sz w:val="18"/>
                <w:szCs w:val="18"/>
              </w:rPr>
              <w:t>Understanding the norms of drug use (cigarette and alcohol use)</w:t>
            </w:r>
          </w:p>
          <w:p>
            <w:pPr>
              <w:pStyle w:val="Normal"/>
              <w:spacing w:lineRule="atLeast" w:line="0"/>
              <w:ind w:right="113"/>
              <w:rPr>
                <w:rFonts w:eastAsia="Times New Roman" w:cs="Arial"/>
                <w:bCs/>
                <w:sz w:val="18"/>
                <w:szCs w:val="18"/>
              </w:rPr>
            </w:pPr>
            <w:r>
              <w:rPr>
                <w:rFonts w:eastAsia="Times New Roman" w:cs="Arial"/>
                <w:bCs/>
                <w:sz w:val="18"/>
                <w:szCs w:val="18"/>
              </w:rPr>
              <w:t>Influences</w:t>
            </w:r>
          </w:p>
          <w:p>
            <w:pPr>
              <w:pStyle w:val="Normal"/>
              <w:spacing w:lineRule="atLeast" w:line="0" w:before="0" w:after="120"/>
              <w:ind w:right="113"/>
              <w:rPr>
                <w:rFonts w:eastAsia="Times New Roman" w:cs="Arial"/>
                <w:sz w:val="18"/>
                <w:szCs w:val="18"/>
              </w:rPr>
            </w:pPr>
            <w:r>
              <w:rPr>
                <w:rFonts w:eastAsia="Times New Roman" w:cs="Arial"/>
                <w:bCs/>
                <w:sz w:val="18"/>
                <w:szCs w:val="18"/>
              </w:rPr>
              <w:t>Online safety</w:t>
            </w:r>
          </w:p>
        </w:tc>
        <w:tc>
          <w:tcPr>
            <w:tcW w:w="2512" w:type="dxa"/>
            <w:tcBorders>
              <w:top w:val="single" w:sz="4" w:space="0" w:color="000000"/>
              <w:left w:val="single" w:sz="4" w:space="0" w:color="000000"/>
              <w:bottom w:val="single" w:sz="4" w:space="0" w:color="000000"/>
              <w:right w:val="single" w:sz="4" w:space="0" w:color="000000"/>
            </w:tcBorders>
          </w:tcPr>
          <w:p>
            <w:pPr>
              <w:pStyle w:val="Normal"/>
              <w:spacing w:lineRule="atLeast" w:line="0"/>
              <w:ind w:left="42" w:right="0"/>
              <w:rPr>
                <w:rFonts w:eastAsia="Times New Roman" w:cs="Arial"/>
                <w:sz w:val="18"/>
                <w:szCs w:val="18"/>
              </w:rPr>
            </w:pPr>
            <w:r>
              <w:rPr>
                <w:rFonts w:eastAsia="Times New Roman" w:cs="Arial"/>
                <w:bCs/>
                <w:sz w:val="18"/>
                <w:szCs w:val="18"/>
              </w:rPr>
              <w:t>Making a difference (different ways of helping others or the environment)</w:t>
            </w:r>
          </w:p>
          <w:p>
            <w:pPr>
              <w:pStyle w:val="Normal"/>
              <w:spacing w:lineRule="atLeast" w:line="0"/>
              <w:ind w:firstLine="42" w:left="42" w:right="113"/>
              <w:rPr>
                <w:rFonts w:eastAsia="Times New Roman" w:cs="Arial"/>
                <w:sz w:val="18"/>
                <w:szCs w:val="18"/>
              </w:rPr>
            </w:pPr>
            <w:r>
              <w:rPr>
                <w:rFonts w:eastAsia="Times New Roman" w:cs="Arial"/>
                <w:bCs/>
                <w:sz w:val="18"/>
                <w:szCs w:val="18"/>
              </w:rPr>
              <w:t>Media influence</w:t>
            </w:r>
          </w:p>
          <w:p>
            <w:pPr>
              <w:pStyle w:val="Normal"/>
              <w:spacing w:lineRule="atLeast" w:line="0" w:before="0" w:after="120"/>
              <w:ind w:left="42" w:right="113"/>
              <w:rPr>
                <w:rFonts w:eastAsia="Times New Roman" w:cs="Arial"/>
                <w:sz w:val="18"/>
                <w:szCs w:val="18"/>
              </w:rPr>
            </w:pPr>
            <w:r>
              <w:rPr>
                <w:rFonts w:eastAsia="Times New Roman" w:cs="Arial"/>
                <w:bCs/>
                <w:sz w:val="18"/>
                <w:szCs w:val="18"/>
              </w:rPr>
              <w:t>Decisions about spending money</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tLeast" w:line="0"/>
              <w:ind w:left="42" w:right="113"/>
              <w:rPr>
                <w:rFonts w:eastAsia="Times New Roman" w:cs="Arial"/>
                <w:sz w:val="18"/>
                <w:szCs w:val="18"/>
              </w:rPr>
            </w:pPr>
            <w:r>
              <w:rPr>
                <w:rFonts w:eastAsia="Times New Roman" w:cs="Arial"/>
                <w:bCs/>
                <w:sz w:val="18"/>
                <w:szCs w:val="18"/>
              </w:rPr>
              <w:t>Having choices and making decisions about my health</w:t>
            </w:r>
          </w:p>
          <w:p>
            <w:pPr>
              <w:pStyle w:val="Normal"/>
              <w:spacing w:lineRule="atLeast" w:line="0"/>
              <w:ind w:left="42" w:right="113"/>
              <w:rPr>
                <w:rFonts w:eastAsia="Times New Roman" w:cs="Arial"/>
                <w:bCs/>
                <w:sz w:val="18"/>
                <w:szCs w:val="18"/>
              </w:rPr>
            </w:pPr>
            <w:r>
              <w:rPr>
                <w:rFonts w:eastAsia="Times New Roman" w:cs="Arial"/>
                <w:bCs/>
                <w:sz w:val="18"/>
                <w:szCs w:val="18"/>
              </w:rPr>
              <w:t>Taking care of my environment</w:t>
            </w:r>
          </w:p>
          <w:p>
            <w:pPr>
              <w:pStyle w:val="Normal"/>
              <w:spacing w:lineRule="atLeast" w:line="0" w:before="0" w:after="120"/>
              <w:ind w:left="42" w:right="113"/>
              <w:rPr>
                <w:rFonts w:eastAsia="Times New Roman" w:cs="Arial"/>
                <w:sz w:val="18"/>
                <w:szCs w:val="18"/>
              </w:rPr>
            </w:pPr>
            <w:r>
              <w:rPr>
                <w:rFonts w:eastAsia="Times New Roman" w:cs="Arial"/>
                <w:bCs/>
                <w:sz w:val="18"/>
                <w:szCs w:val="18"/>
              </w:rPr>
              <w:t>My skills and interests</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tLeast" w:line="0"/>
              <w:rPr>
                <w:rFonts w:eastAsia="Times New Roman" w:cs="Arial"/>
                <w:sz w:val="18"/>
                <w:szCs w:val="18"/>
              </w:rPr>
            </w:pPr>
            <w:r>
              <w:rPr>
                <w:rFonts w:eastAsia="Times New Roman" w:cs="Arial"/>
                <w:bCs/>
                <w:sz w:val="18"/>
                <w:szCs w:val="18"/>
              </w:rPr>
              <w:t>Body changes during puberty</w:t>
            </w:r>
          </w:p>
          <w:p>
            <w:pPr>
              <w:pStyle w:val="Normal"/>
              <w:spacing w:lineRule="atLeast" w:line="0"/>
              <w:rPr>
                <w:rFonts w:eastAsia="Times New Roman" w:cs="Arial"/>
                <w:sz w:val="18"/>
                <w:szCs w:val="18"/>
              </w:rPr>
            </w:pPr>
            <w:r>
              <w:rPr>
                <w:rFonts w:eastAsia="Times New Roman" w:cs="Arial"/>
                <w:bCs/>
                <w:sz w:val="18"/>
                <w:szCs w:val="18"/>
              </w:rPr>
              <w:t>Managing difficult feelings</w:t>
            </w:r>
          </w:p>
          <w:p>
            <w:pPr>
              <w:pStyle w:val="Normal"/>
              <w:spacing w:lineRule="atLeast" w:line="0" w:before="0" w:after="120"/>
              <w:rPr>
                <w:rFonts w:eastAsia="Times New Roman" w:cs="Arial"/>
                <w:sz w:val="18"/>
                <w:szCs w:val="18"/>
              </w:rPr>
            </w:pPr>
            <w:r>
              <w:rPr>
                <w:rFonts w:eastAsia="Times New Roman" w:cs="Arial"/>
                <w:bCs/>
                <w:sz w:val="18"/>
                <w:szCs w:val="18"/>
              </w:rPr>
              <w:t>Relationships including marriage</w:t>
            </w:r>
          </w:p>
        </w:tc>
      </w:tr>
      <w:tr>
        <w:trPr/>
        <w:tc>
          <w:tcPr>
            <w:tcW w:w="1838" w:type="dxa"/>
            <w:tcBorders>
              <w:top w:val="single" w:sz="4" w:space="0" w:color="000000"/>
              <w:left w:val="single" w:sz="4" w:space="0" w:color="000000"/>
              <w:bottom w:val="single" w:sz="4" w:space="0" w:color="000000"/>
              <w:right w:val="single" w:sz="4" w:space="0" w:color="000000"/>
            </w:tcBorders>
            <w:shd w:fill="FAE2D5" w:val="clear"/>
          </w:tcPr>
          <w:p>
            <w:pPr>
              <w:pStyle w:val="Normal"/>
              <w:snapToGrid w:val="false"/>
              <w:jc w:val="center"/>
              <w:rPr>
                <w:rFonts w:eastAsia="Times New Roman" w:cs="Arial"/>
                <w:b/>
                <w:sz w:val="23"/>
                <w:szCs w:val="23"/>
              </w:rPr>
            </w:pPr>
            <w:r>
              <w:rPr>
                <w:rFonts w:eastAsia="Times New Roman" w:cs="Arial"/>
                <w:b/>
                <w:sz w:val="23"/>
                <w:szCs w:val="23"/>
              </w:rPr>
            </w:r>
          </w:p>
          <w:p>
            <w:pPr>
              <w:pStyle w:val="Normal"/>
              <w:jc w:val="center"/>
              <w:rPr>
                <w:rFonts w:cs="Arial"/>
                <w:b/>
                <w:sz w:val="23"/>
                <w:szCs w:val="23"/>
              </w:rPr>
            </w:pPr>
            <w:r>
              <w:rPr>
                <w:rFonts w:cs="Arial"/>
                <w:b/>
                <w:sz w:val="23"/>
                <w:szCs w:val="23"/>
              </w:rPr>
              <w:t>Y5</w:t>
            </w:r>
          </w:p>
          <w:p>
            <w:pPr>
              <w:pStyle w:val="Normal"/>
              <w:jc w:val="center"/>
              <w:rPr>
                <w:rFonts w:cs="Arial"/>
                <w:b/>
                <w:sz w:val="23"/>
                <w:szCs w:val="23"/>
              </w:rPr>
            </w:pPr>
            <w:r>
              <w:rPr>
                <w:rFonts w:cs="Arial"/>
                <w:b/>
                <w:sz w:val="23"/>
                <w:szCs w:val="23"/>
              </w:rPr>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ind w:right="113"/>
              <w:rPr>
                <w:rFonts w:eastAsia="Arial" w:cs="Arial"/>
                <w:sz w:val="18"/>
                <w:szCs w:val="18"/>
              </w:rPr>
            </w:pPr>
            <w:r>
              <w:rPr>
                <w:rFonts w:eastAsia="Arial" w:cs="Arial"/>
                <w:sz w:val="18"/>
                <w:szCs w:val="18"/>
              </w:rPr>
              <w:t>Feelings</w:t>
            </w:r>
          </w:p>
          <w:p>
            <w:pPr>
              <w:pStyle w:val="Normal"/>
              <w:spacing w:lineRule="atLeast" w:line="0"/>
              <w:rPr>
                <w:rFonts w:eastAsia="Times New Roman" w:cs="Arial"/>
                <w:sz w:val="18"/>
                <w:szCs w:val="18"/>
              </w:rPr>
            </w:pPr>
            <w:r>
              <w:rPr>
                <w:rFonts w:eastAsia="Times New Roman" w:cs="Arial"/>
                <w:bCs/>
                <w:sz w:val="18"/>
                <w:szCs w:val="18"/>
              </w:rPr>
              <w:t>Friendship skills, including compromise</w:t>
            </w:r>
          </w:p>
          <w:p>
            <w:pPr>
              <w:pStyle w:val="Normal"/>
              <w:spacing w:lineRule="atLeast" w:line="0"/>
              <w:rPr>
                <w:rFonts w:eastAsia="Times New Roman" w:cs="Arial"/>
                <w:bCs/>
                <w:sz w:val="18"/>
                <w:szCs w:val="18"/>
              </w:rPr>
            </w:pPr>
            <w:r>
              <w:rPr>
                <w:rFonts w:eastAsia="Times New Roman" w:cs="Arial"/>
                <w:bCs/>
                <w:sz w:val="18"/>
                <w:szCs w:val="18"/>
              </w:rPr>
              <w:t xml:space="preserve">Assertive skills </w:t>
            </w:r>
          </w:p>
          <w:p>
            <w:pPr>
              <w:pStyle w:val="Normal"/>
              <w:spacing w:lineRule="atLeast" w:line="0"/>
              <w:rPr>
                <w:rFonts w:eastAsia="Times New Roman" w:cs="Arial"/>
                <w:bCs/>
                <w:sz w:val="18"/>
                <w:szCs w:val="18"/>
              </w:rPr>
            </w:pPr>
            <w:r>
              <w:rPr>
                <w:rFonts w:eastAsia="Times New Roman" w:cs="Arial"/>
                <w:bCs/>
                <w:sz w:val="18"/>
                <w:szCs w:val="18"/>
              </w:rPr>
              <w:t>Cooperation</w:t>
            </w:r>
          </w:p>
          <w:p>
            <w:pPr>
              <w:pStyle w:val="Normal"/>
              <w:spacing w:lineRule="atLeast" w:line="0" w:before="0" w:after="120"/>
              <w:rPr>
                <w:rFonts w:eastAsia="Arial" w:cs="Arial"/>
                <w:sz w:val="18"/>
                <w:szCs w:val="18"/>
              </w:rPr>
            </w:pPr>
            <w:r>
              <w:rPr>
                <w:rFonts w:eastAsia="Times New Roman" w:cs="Arial"/>
                <w:bCs/>
                <w:sz w:val="18"/>
                <w:szCs w:val="18"/>
              </w:rPr>
              <w:t>Recognising emotional needs</w:t>
            </w:r>
          </w:p>
        </w:tc>
        <w:tc>
          <w:tcPr>
            <w:tcW w:w="2410" w:type="dxa"/>
            <w:tcBorders>
              <w:top w:val="single" w:sz="4" w:space="0" w:color="000000"/>
              <w:left w:val="single" w:sz="4" w:space="0" w:color="000000"/>
              <w:bottom w:val="single" w:sz="4" w:space="0" w:color="000000"/>
              <w:right w:val="single" w:sz="4" w:space="0" w:color="000000"/>
            </w:tcBorders>
            <w:shd w:fill="FAE2D5" w:val="clear"/>
          </w:tcPr>
          <w:p>
            <w:pPr>
              <w:pStyle w:val="Normal"/>
              <w:rPr>
                <w:rFonts w:eastAsia="Times New Roman" w:cs="Arial"/>
                <w:sz w:val="18"/>
                <w:szCs w:val="18"/>
              </w:rPr>
            </w:pPr>
            <w:r>
              <w:rPr>
                <w:rFonts w:eastAsia="Times New Roman" w:cs="Arial"/>
                <w:bCs/>
                <w:sz w:val="18"/>
                <w:szCs w:val="18"/>
              </w:rPr>
              <w:t>Recognising and celebrating difference, including religions and cultural</w:t>
            </w:r>
          </w:p>
          <w:p>
            <w:pPr>
              <w:pStyle w:val="Normal"/>
              <w:spacing w:lineRule="auto" w:line="276" w:before="0" w:after="120"/>
              <w:rPr>
                <w:rFonts w:eastAsia="Times New Roman" w:cs="Arial"/>
                <w:sz w:val="18"/>
                <w:szCs w:val="18"/>
              </w:rPr>
            </w:pPr>
            <w:r>
              <w:rPr>
                <w:rFonts w:eastAsia="Times New Roman" w:cs="Arial"/>
                <w:bCs/>
                <w:sz w:val="18"/>
                <w:szCs w:val="18"/>
              </w:rPr>
              <w:t>Influence and pressure of social media</w:t>
            </w:r>
          </w:p>
        </w:tc>
        <w:tc>
          <w:tcPr>
            <w:tcW w:w="2307"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ind w:hanging="23" w:left="90" w:right="113"/>
              <w:rPr>
                <w:rFonts w:eastAsia="Times New Roman" w:cs="Arial"/>
                <w:sz w:val="18"/>
                <w:szCs w:val="18"/>
              </w:rPr>
            </w:pPr>
            <w:r>
              <w:rPr>
                <w:rFonts w:eastAsia="Times New Roman" w:cs="Arial"/>
                <w:bCs/>
                <w:sz w:val="18"/>
                <w:szCs w:val="18"/>
              </w:rPr>
              <w:t xml:space="preserve">Managing risk, including online safety </w:t>
            </w:r>
          </w:p>
          <w:p>
            <w:pPr>
              <w:pStyle w:val="Normal"/>
              <w:spacing w:lineRule="auto" w:line="276"/>
              <w:ind w:left="67" w:right="113"/>
              <w:rPr>
                <w:rFonts w:eastAsia="Times New Roman" w:cs="Arial"/>
                <w:bCs/>
                <w:sz w:val="18"/>
                <w:szCs w:val="18"/>
              </w:rPr>
            </w:pPr>
            <w:r>
              <w:rPr>
                <w:rFonts w:eastAsia="Times New Roman" w:cs="Arial"/>
                <w:bCs/>
                <w:sz w:val="18"/>
                <w:szCs w:val="18"/>
              </w:rPr>
              <w:t>Norms around use of legal drugs (tobacco, alcohol)</w:t>
            </w:r>
          </w:p>
          <w:p>
            <w:pPr>
              <w:pStyle w:val="Normal"/>
              <w:spacing w:lineRule="auto" w:line="276" w:before="0" w:after="120"/>
              <w:ind w:left="67" w:right="113"/>
              <w:rPr>
                <w:rFonts w:eastAsia="Times New Roman" w:cs="Arial"/>
                <w:sz w:val="18"/>
                <w:szCs w:val="18"/>
              </w:rPr>
            </w:pPr>
            <w:r>
              <w:rPr>
                <w:rFonts w:eastAsia="Times New Roman" w:cs="Arial"/>
                <w:bCs/>
                <w:sz w:val="18"/>
                <w:szCs w:val="18"/>
              </w:rPr>
              <w:t>Decision-making skills</w:t>
            </w:r>
          </w:p>
        </w:tc>
        <w:tc>
          <w:tcPr>
            <w:tcW w:w="2512" w:type="dxa"/>
            <w:tcBorders>
              <w:top w:val="single" w:sz="4" w:space="0" w:color="000000"/>
              <w:left w:val="single" w:sz="4" w:space="0" w:color="000000"/>
              <w:bottom w:val="single" w:sz="4" w:space="0" w:color="000000"/>
              <w:right w:val="single" w:sz="4" w:space="0" w:color="000000"/>
            </w:tcBorders>
            <w:shd w:fill="FAE2D5" w:val="clear"/>
          </w:tcPr>
          <w:p>
            <w:pPr>
              <w:pStyle w:val="Normal"/>
              <w:ind w:hanging="113" w:right="113"/>
              <w:rPr>
                <w:rFonts w:eastAsia="Times New Roman" w:cs="Arial"/>
                <w:sz w:val="18"/>
                <w:szCs w:val="18"/>
              </w:rPr>
            </w:pPr>
            <w:r>
              <w:rPr>
                <w:rFonts w:eastAsia="Arial" w:cs="Arial"/>
                <w:bCs/>
                <w:color w:val="000000"/>
                <w:sz w:val="18"/>
                <w:szCs w:val="18"/>
              </w:rPr>
              <w:t xml:space="preserve">  </w:t>
            </w:r>
            <w:r>
              <w:rPr>
                <w:rFonts w:eastAsia="Times New Roman" w:cs="Arial"/>
                <w:bCs/>
                <w:color w:val="000000"/>
                <w:sz w:val="18"/>
                <w:szCs w:val="18"/>
              </w:rPr>
              <w:t>Rights, respect and duties</w:t>
            </w:r>
          </w:p>
          <w:p>
            <w:pPr>
              <w:pStyle w:val="Normal"/>
              <w:spacing w:lineRule="atLeast" w:line="0"/>
              <w:ind w:hanging="113" w:right="113"/>
              <w:rPr>
                <w:rFonts w:cs="Arial"/>
                <w:bCs/>
                <w:color w:val="000000"/>
                <w:sz w:val="18"/>
                <w:szCs w:val="18"/>
              </w:rPr>
            </w:pPr>
            <w:r>
              <w:rPr>
                <w:rFonts w:eastAsia="Arial" w:cs="Arial"/>
                <w:bCs/>
                <w:color w:val="000000"/>
                <w:sz w:val="18"/>
                <w:szCs w:val="18"/>
              </w:rPr>
              <w:t xml:space="preserve">  </w:t>
            </w:r>
            <w:r>
              <w:rPr>
                <w:rFonts w:eastAsia="Times New Roman" w:cs="Arial"/>
                <w:bCs/>
                <w:color w:val="000000"/>
                <w:sz w:val="18"/>
                <w:szCs w:val="18"/>
              </w:rPr>
              <w:t>relating to my health</w:t>
            </w:r>
          </w:p>
          <w:p>
            <w:pPr>
              <w:pStyle w:val="Normal"/>
              <w:spacing w:lineRule="atLeast" w:line="0"/>
              <w:ind w:hanging="113" w:right="113"/>
              <w:rPr>
                <w:rFonts w:cs="Arial"/>
                <w:bCs/>
                <w:sz w:val="18"/>
                <w:szCs w:val="18"/>
              </w:rPr>
            </w:pPr>
            <w:r>
              <w:rPr>
                <w:rFonts w:eastAsia="Arial" w:cs="Arial"/>
                <w:bCs/>
                <w:sz w:val="18"/>
                <w:szCs w:val="18"/>
              </w:rPr>
              <w:t xml:space="preserve">  </w:t>
            </w:r>
            <w:r>
              <w:rPr>
                <w:rFonts w:eastAsia="Times New Roman" w:cs="Arial"/>
                <w:bCs/>
                <w:sz w:val="18"/>
                <w:szCs w:val="18"/>
              </w:rPr>
              <w:t>Making a difference</w:t>
            </w:r>
          </w:p>
          <w:p>
            <w:pPr>
              <w:pStyle w:val="Normal"/>
              <w:spacing w:lineRule="atLeast" w:line="0"/>
              <w:ind w:hanging="113" w:right="113"/>
              <w:rPr/>
            </w:pPr>
            <w:r>
              <w:rPr>
                <w:rFonts w:eastAsia="Arial" w:cs="Arial"/>
                <w:bCs/>
                <w:color w:val="000000"/>
                <w:sz w:val="18"/>
                <w:szCs w:val="18"/>
              </w:rPr>
              <w:t xml:space="preserve">  </w:t>
            </w:r>
            <w:r>
              <w:rPr>
                <w:rFonts w:eastAsia="Times New Roman" w:cs="Arial"/>
                <w:bCs/>
                <w:color w:val="000000"/>
                <w:sz w:val="18"/>
                <w:szCs w:val="18"/>
              </w:rPr>
              <w:t>Decisions about lending, borrowing and spending</w:t>
            </w:r>
            <w:r>
              <w:rPr>
                <w:rFonts w:eastAsia="Times New Roman" w:cs="Arial"/>
                <w:bCs/>
                <w:color w:val="FF0000"/>
                <w:sz w:val="18"/>
                <w:szCs w:val="18"/>
              </w:rPr>
              <w:t xml:space="preserve"> </w:t>
            </w:r>
          </w:p>
          <w:p>
            <w:pPr>
              <w:pStyle w:val="Normal"/>
              <w:spacing w:lineRule="atLeast" w:line="0" w:before="0" w:after="120"/>
              <w:ind w:hanging="113" w:right="113"/>
              <w:rPr>
                <w:rFonts w:eastAsia="Times New Roman" w:cs="Arial"/>
                <w:sz w:val="18"/>
                <w:szCs w:val="18"/>
              </w:rPr>
            </w:pPr>
            <w:r>
              <w:rPr>
                <w:rFonts w:eastAsia="Arial" w:cs="Arial"/>
                <w:bCs/>
                <w:sz w:val="18"/>
                <w:szCs w:val="18"/>
              </w:rPr>
              <w:t xml:space="preserve"> </w:t>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ind w:hanging="113" w:right="113"/>
              <w:rPr>
                <w:rFonts w:cs="Arial"/>
                <w:bCs/>
                <w:color w:val="000000"/>
                <w:sz w:val="18"/>
                <w:szCs w:val="18"/>
              </w:rPr>
            </w:pPr>
            <w:r>
              <w:rPr>
                <w:rFonts w:eastAsia="Arial" w:cs="Arial"/>
                <w:bCs/>
                <w:color w:val="000000"/>
                <w:sz w:val="18"/>
                <w:szCs w:val="18"/>
              </w:rPr>
              <w:t xml:space="preserve"> </w:t>
            </w:r>
            <w:r>
              <w:rPr>
                <w:rFonts w:eastAsia="Times New Roman" w:cs="Arial"/>
                <w:bCs/>
                <w:color w:val="000000"/>
                <w:sz w:val="18"/>
                <w:szCs w:val="18"/>
              </w:rPr>
              <w:t>Growing independence and taking ownership</w:t>
            </w:r>
          </w:p>
          <w:p>
            <w:pPr>
              <w:pStyle w:val="Normal"/>
              <w:spacing w:lineRule="atLeast" w:line="0"/>
              <w:ind w:hanging="113" w:right="113"/>
              <w:rPr>
                <w:rFonts w:eastAsia="Times New Roman" w:cs="Arial"/>
                <w:bCs/>
                <w:color w:val="000000"/>
                <w:sz w:val="18"/>
                <w:szCs w:val="18"/>
              </w:rPr>
            </w:pPr>
            <w:r>
              <w:rPr>
                <w:rFonts w:eastAsia="Times New Roman" w:cs="Arial"/>
                <w:bCs/>
                <w:color w:val="000000"/>
                <w:sz w:val="18"/>
                <w:szCs w:val="18"/>
              </w:rPr>
              <w:t>Keeping myself healthy</w:t>
            </w:r>
          </w:p>
          <w:p>
            <w:pPr>
              <w:pStyle w:val="Normal"/>
              <w:spacing w:lineRule="atLeast" w:line="0"/>
              <w:ind w:hanging="113" w:right="113"/>
              <w:rPr>
                <w:rFonts w:cs="Arial"/>
                <w:bCs/>
                <w:color w:val="000000"/>
                <w:sz w:val="18"/>
                <w:szCs w:val="18"/>
              </w:rPr>
            </w:pPr>
            <w:r>
              <w:rPr>
                <w:rFonts w:eastAsia="Arial" w:cs="Arial"/>
                <w:bCs/>
                <w:color w:val="000000"/>
                <w:sz w:val="18"/>
                <w:szCs w:val="18"/>
              </w:rPr>
              <w:t xml:space="preserve"> </w:t>
            </w:r>
            <w:r>
              <w:rPr>
                <w:rFonts w:eastAsia="Times New Roman" w:cs="Arial"/>
                <w:bCs/>
                <w:color w:val="000000"/>
                <w:sz w:val="18"/>
                <w:szCs w:val="18"/>
              </w:rPr>
              <w:t>Media awareness and safety</w:t>
            </w:r>
          </w:p>
          <w:p>
            <w:pPr>
              <w:pStyle w:val="Normal"/>
              <w:spacing w:lineRule="atLeast" w:line="0"/>
              <w:ind w:hanging="113" w:right="113"/>
              <w:rPr>
                <w:rFonts w:cs="Arial"/>
                <w:bCs/>
                <w:color w:val="000000"/>
                <w:sz w:val="18"/>
                <w:szCs w:val="18"/>
              </w:rPr>
            </w:pPr>
            <w:r>
              <w:rPr>
                <w:rFonts w:eastAsia="Arial" w:cs="Arial"/>
                <w:bCs/>
                <w:color w:val="000000"/>
                <w:sz w:val="18"/>
                <w:szCs w:val="18"/>
              </w:rPr>
              <w:t xml:space="preserve"> </w:t>
            </w:r>
            <w:r>
              <w:rPr>
                <w:rFonts w:eastAsia="Times New Roman" w:cs="Arial"/>
                <w:bCs/>
                <w:color w:val="000000"/>
                <w:sz w:val="18"/>
                <w:szCs w:val="18"/>
              </w:rPr>
              <w:t>My community</w:t>
            </w:r>
          </w:p>
          <w:p>
            <w:pPr>
              <w:pStyle w:val="Normal"/>
              <w:spacing w:lineRule="atLeast" w:line="0" w:before="0" w:after="120"/>
              <w:ind w:hanging="113" w:right="113"/>
              <w:jc w:val="center"/>
              <w:rPr>
                <w:rFonts w:eastAsia="Times New Roman" w:cs="Arial"/>
                <w:bCs/>
                <w:color w:val="000000"/>
                <w:sz w:val="18"/>
                <w:szCs w:val="18"/>
              </w:rPr>
            </w:pPr>
            <w:r>
              <w:rPr>
                <w:rFonts w:eastAsia="Times New Roman" w:cs="Arial"/>
                <w:bCs/>
                <w:color w:val="000000"/>
                <w:sz w:val="18"/>
                <w:szCs w:val="18"/>
              </w:rPr>
            </w:r>
          </w:p>
        </w:tc>
        <w:tc>
          <w:tcPr>
            <w:tcW w:w="2268" w:type="dxa"/>
            <w:tcBorders>
              <w:top w:val="single" w:sz="4" w:space="0" w:color="000000"/>
              <w:left w:val="single" w:sz="4" w:space="0" w:color="000000"/>
              <w:bottom w:val="single" w:sz="4" w:space="0" w:color="000000"/>
              <w:right w:val="single" w:sz="4" w:space="0" w:color="000000"/>
            </w:tcBorders>
            <w:shd w:fill="FAE2D5" w:val="clear"/>
          </w:tcPr>
          <w:p>
            <w:pPr>
              <w:pStyle w:val="Normal"/>
              <w:spacing w:lineRule="atLeast" w:line="0"/>
              <w:rPr>
                <w:rFonts w:eastAsia="Times New Roman" w:cs="Arial"/>
                <w:sz w:val="18"/>
                <w:szCs w:val="18"/>
              </w:rPr>
            </w:pPr>
            <w:r>
              <w:rPr>
                <w:rFonts w:eastAsia="Times New Roman" w:cs="Arial"/>
                <w:color w:val="000000"/>
                <w:sz w:val="18"/>
                <w:szCs w:val="18"/>
              </w:rPr>
              <w:t>Managing difficult feelings</w:t>
            </w:r>
          </w:p>
          <w:p>
            <w:pPr>
              <w:pStyle w:val="Normal"/>
              <w:spacing w:lineRule="atLeast" w:line="0"/>
              <w:rPr>
                <w:rFonts w:eastAsia="Times New Roman" w:cs="Arial"/>
                <w:sz w:val="18"/>
                <w:szCs w:val="18"/>
              </w:rPr>
            </w:pPr>
            <w:r>
              <w:rPr>
                <w:rFonts w:eastAsia="Times New Roman" w:cs="Arial"/>
                <w:color w:val="000000"/>
                <w:sz w:val="18"/>
                <w:szCs w:val="18"/>
              </w:rPr>
              <w:t>Managing change</w:t>
            </w:r>
          </w:p>
          <w:p>
            <w:pPr>
              <w:pStyle w:val="Normal"/>
              <w:spacing w:lineRule="atLeast" w:line="0"/>
              <w:rPr>
                <w:rFonts w:eastAsia="Times New Roman" w:cs="Arial"/>
                <w:bCs/>
                <w:color w:val="000000"/>
                <w:sz w:val="18"/>
                <w:szCs w:val="18"/>
              </w:rPr>
            </w:pPr>
            <w:r>
              <w:rPr>
                <w:rFonts w:eastAsia="Times New Roman" w:cs="Arial"/>
                <w:bCs/>
                <w:color w:val="000000"/>
                <w:sz w:val="18"/>
                <w:szCs w:val="18"/>
              </w:rPr>
              <w:t>How my feelings help keeping safe</w:t>
            </w:r>
          </w:p>
          <w:p>
            <w:pPr>
              <w:pStyle w:val="Normal"/>
              <w:spacing w:lineRule="atLeast" w:line="0" w:before="0" w:after="120"/>
              <w:rPr>
                <w:rFonts w:eastAsia="Times New Roman" w:cs="Arial"/>
                <w:sz w:val="18"/>
                <w:szCs w:val="18"/>
              </w:rPr>
            </w:pPr>
            <w:r>
              <w:rPr>
                <w:rFonts w:eastAsia="Times New Roman" w:cs="Arial"/>
                <w:bCs/>
                <w:color w:val="000000"/>
                <w:sz w:val="18"/>
                <w:szCs w:val="18"/>
              </w:rPr>
              <w:t>Getting help</w:t>
            </w:r>
          </w:p>
        </w:tc>
      </w:tr>
      <w:tr>
        <w:trPr>
          <w:trHeight w:val="964" w:hRule="atLeast"/>
        </w:trPr>
        <w:tc>
          <w:tcPr>
            <w:tcW w:w="183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eastAsia="Times New Roman" w:cs="Arial"/>
                <w:b/>
                <w:sz w:val="23"/>
                <w:szCs w:val="23"/>
              </w:rPr>
            </w:pPr>
            <w:r>
              <w:rPr>
                <w:rFonts w:eastAsia="Times New Roman" w:cs="Arial"/>
                <w:b/>
                <w:sz w:val="23"/>
                <w:szCs w:val="23"/>
              </w:rPr>
            </w:r>
          </w:p>
          <w:p>
            <w:pPr>
              <w:pStyle w:val="Normal"/>
              <w:jc w:val="center"/>
              <w:rPr>
                <w:rFonts w:cs="Arial"/>
                <w:b/>
                <w:sz w:val="23"/>
                <w:szCs w:val="23"/>
              </w:rPr>
            </w:pPr>
            <w:r>
              <w:rPr>
                <w:rFonts w:cs="Arial"/>
                <w:b/>
                <w:sz w:val="23"/>
                <w:szCs w:val="23"/>
              </w:rPr>
              <w:t>Y6</w:t>
            </w:r>
          </w:p>
          <w:p>
            <w:pPr>
              <w:pStyle w:val="Normal"/>
              <w:jc w:val="center"/>
              <w:rPr>
                <w:rFonts w:cs="Arial"/>
                <w:b/>
                <w:sz w:val="23"/>
                <w:szCs w:val="23"/>
              </w:rPr>
            </w:pPr>
            <w:r>
              <w:rPr>
                <w:rFonts w:cs="Arial"/>
                <w:b/>
                <w:sz w:val="23"/>
                <w:szCs w:val="23"/>
              </w:rPr>
            </w:r>
          </w:p>
          <w:p>
            <w:pPr>
              <w:pStyle w:val="Normal"/>
              <w:spacing w:before="0" w:after="120"/>
              <w:jc w:val="center"/>
              <w:rPr>
                <w:rFonts w:cs="Arial"/>
                <w:b/>
                <w:sz w:val="23"/>
                <w:szCs w:val="23"/>
              </w:rPr>
            </w:pPr>
            <w:r>
              <w:rPr>
                <w:rFonts w:cs="Arial"/>
                <w:b/>
                <w:sz w:val="23"/>
                <w:szCs w:val="23"/>
              </w:rPr>
            </w:r>
          </w:p>
        </w:tc>
        <w:tc>
          <w:tcPr>
            <w:tcW w:w="2268" w:type="dxa"/>
            <w:tcBorders>
              <w:top w:val="single" w:sz="4" w:space="0" w:color="000000"/>
              <w:left w:val="single" w:sz="4" w:space="0" w:color="000000"/>
              <w:bottom w:val="single" w:sz="4" w:space="0" w:color="000000"/>
              <w:right w:val="single" w:sz="4" w:space="0" w:color="000000"/>
            </w:tcBorders>
          </w:tcPr>
          <w:p>
            <w:pPr>
              <w:pStyle w:val="Normal"/>
              <w:rPr>
                <w:rFonts w:eastAsia="Times New Roman" w:cs="Arial"/>
                <w:sz w:val="18"/>
                <w:szCs w:val="18"/>
              </w:rPr>
            </w:pPr>
            <w:r>
              <w:rPr>
                <w:rFonts w:eastAsia="Times New Roman" w:cs="Arial"/>
                <w:bCs/>
                <w:color w:val="000000"/>
                <w:sz w:val="18"/>
                <w:szCs w:val="18"/>
              </w:rPr>
              <w:t>Assertiveness</w:t>
            </w:r>
          </w:p>
          <w:p>
            <w:pPr>
              <w:pStyle w:val="Normal"/>
              <w:spacing w:lineRule="atLeast" w:line="0"/>
              <w:rPr>
                <w:rFonts w:eastAsia="Times New Roman" w:cs="Arial"/>
                <w:sz w:val="18"/>
                <w:szCs w:val="18"/>
              </w:rPr>
            </w:pPr>
            <w:r>
              <w:rPr>
                <w:rFonts w:eastAsia="Times New Roman" w:cs="Arial"/>
                <w:bCs/>
                <w:color w:val="000000"/>
                <w:sz w:val="18"/>
                <w:szCs w:val="18"/>
              </w:rPr>
              <w:t>Cooperation</w:t>
            </w:r>
          </w:p>
          <w:p>
            <w:pPr>
              <w:pStyle w:val="Normal"/>
              <w:rPr>
                <w:rFonts w:eastAsia="Times New Roman" w:cs="Arial"/>
                <w:bCs/>
                <w:color w:val="000000"/>
                <w:sz w:val="18"/>
                <w:szCs w:val="18"/>
              </w:rPr>
            </w:pPr>
            <w:r>
              <w:rPr>
                <w:rFonts w:eastAsia="Times New Roman" w:cs="Arial"/>
                <w:bCs/>
                <w:color w:val="000000"/>
                <w:sz w:val="18"/>
                <w:szCs w:val="18"/>
              </w:rPr>
              <w:t>Safe/unsafe touches</w:t>
            </w:r>
          </w:p>
          <w:p>
            <w:pPr>
              <w:pStyle w:val="Normal"/>
              <w:spacing w:before="0" w:after="120"/>
              <w:rPr>
                <w:rFonts w:eastAsia="Times New Roman" w:cs="Arial"/>
                <w:sz w:val="18"/>
                <w:szCs w:val="18"/>
              </w:rPr>
            </w:pPr>
            <w:r>
              <w:rPr>
                <w:rFonts w:eastAsia="Times New Roman" w:cs="Arial"/>
                <w:bCs/>
                <w:color w:val="000000"/>
                <w:sz w:val="18"/>
                <w:szCs w:val="18"/>
              </w:rPr>
              <w:t>Positive relationships</w:t>
            </w:r>
          </w:p>
        </w:tc>
        <w:tc>
          <w:tcPr>
            <w:tcW w:w="2410" w:type="dxa"/>
            <w:tcBorders>
              <w:top w:val="single" w:sz="4" w:space="0" w:color="000000"/>
              <w:left w:val="single" w:sz="4" w:space="0" w:color="000000"/>
              <w:bottom w:val="single" w:sz="4" w:space="0" w:color="000000"/>
              <w:right w:val="single" w:sz="4" w:space="0" w:color="000000"/>
            </w:tcBorders>
          </w:tcPr>
          <w:p>
            <w:pPr>
              <w:pStyle w:val="Normal"/>
              <w:rPr>
                <w:rFonts w:eastAsia="Times New Roman" w:cs="Arial"/>
                <w:sz w:val="18"/>
                <w:szCs w:val="18"/>
              </w:rPr>
            </w:pPr>
            <w:r>
              <w:rPr>
                <w:rFonts w:eastAsia="Times New Roman" w:cs="Arial"/>
                <w:bCs/>
                <w:sz w:val="18"/>
                <w:szCs w:val="18"/>
              </w:rPr>
              <w:t xml:space="preserve">Recognising and celebrating difference Recognising and reflecting on prejudice-based bullying </w:t>
            </w:r>
          </w:p>
          <w:p>
            <w:pPr>
              <w:pStyle w:val="Normal"/>
              <w:spacing w:lineRule="atLeast" w:line="0"/>
              <w:rPr>
                <w:rFonts w:eastAsia="Times New Roman" w:cs="Arial"/>
                <w:bCs/>
                <w:sz w:val="18"/>
                <w:szCs w:val="18"/>
              </w:rPr>
            </w:pPr>
            <w:r>
              <w:rPr>
                <w:rFonts w:eastAsia="Times New Roman" w:cs="Arial"/>
                <w:bCs/>
                <w:sz w:val="18"/>
                <w:szCs w:val="18"/>
              </w:rPr>
              <w:t xml:space="preserve">Understanding Bystander behaviour </w:t>
            </w:r>
          </w:p>
          <w:p>
            <w:pPr>
              <w:pStyle w:val="Normal"/>
              <w:spacing w:lineRule="atLeast" w:line="0" w:before="0" w:after="120"/>
              <w:rPr>
                <w:rFonts w:eastAsia="Times New Roman" w:cs="Arial"/>
                <w:sz w:val="18"/>
                <w:szCs w:val="18"/>
              </w:rPr>
            </w:pPr>
            <w:r>
              <w:rPr>
                <w:rFonts w:eastAsia="Times New Roman" w:cs="Arial"/>
                <w:bCs/>
                <w:sz w:val="18"/>
                <w:szCs w:val="18"/>
              </w:rPr>
              <w:t>Gender stereotyping</w:t>
            </w:r>
          </w:p>
        </w:tc>
        <w:tc>
          <w:tcPr>
            <w:tcW w:w="2307" w:type="dxa"/>
            <w:tcBorders>
              <w:top w:val="single" w:sz="4" w:space="0" w:color="000000"/>
              <w:left w:val="single" w:sz="4" w:space="0" w:color="000000"/>
              <w:bottom w:val="single" w:sz="4" w:space="0" w:color="000000"/>
              <w:right w:val="single" w:sz="4" w:space="0" w:color="000000"/>
            </w:tcBorders>
          </w:tcPr>
          <w:p>
            <w:pPr>
              <w:pStyle w:val="Normal"/>
              <w:spacing w:lineRule="atLeast" w:line="0"/>
              <w:ind w:right="113"/>
              <w:rPr>
                <w:rFonts w:eastAsia="Times New Roman" w:cs="Arial"/>
                <w:sz w:val="18"/>
                <w:szCs w:val="18"/>
              </w:rPr>
            </w:pPr>
            <w:r>
              <w:rPr>
                <w:rFonts w:eastAsia="Times New Roman" w:cs="Arial"/>
                <w:bCs/>
                <w:sz w:val="18"/>
                <w:szCs w:val="18"/>
              </w:rPr>
              <w:t>Understanding emotional needs</w:t>
            </w:r>
          </w:p>
          <w:p>
            <w:pPr>
              <w:pStyle w:val="Normal"/>
              <w:ind w:right="113"/>
              <w:rPr>
                <w:rFonts w:eastAsia="Times New Roman" w:cs="Arial"/>
                <w:bCs/>
                <w:sz w:val="18"/>
                <w:szCs w:val="18"/>
              </w:rPr>
            </w:pPr>
            <w:r>
              <w:rPr>
                <w:rFonts w:eastAsia="Times New Roman" w:cs="Arial"/>
                <w:bCs/>
                <w:sz w:val="18"/>
                <w:szCs w:val="18"/>
              </w:rPr>
              <w:t>Staying safe online</w:t>
            </w:r>
          </w:p>
          <w:p>
            <w:pPr>
              <w:pStyle w:val="Normal"/>
              <w:spacing w:before="0" w:after="120"/>
              <w:ind w:hanging="113" w:right="113"/>
              <w:rPr>
                <w:rFonts w:eastAsia="Times New Roman" w:cs="Arial"/>
                <w:sz w:val="18"/>
                <w:szCs w:val="18"/>
              </w:rPr>
            </w:pPr>
            <w:r>
              <w:rPr>
                <w:rFonts w:eastAsia="Arial" w:cs="Arial"/>
                <w:bCs/>
                <w:sz w:val="18"/>
                <w:szCs w:val="18"/>
                <w:shd w:fill="FFFFFF" w:val="clear"/>
              </w:rPr>
              <w:t xml:space="preserve">  </w:t>
            </w:r>
            <w:r>
              <w:rPr>
                <w:rFonts w:eastAsia="Times New Roman" w:cs="Arial"/>
                <w:bCs/>
                <w:sz w:val="18"/>
                <w:szCs w:val="18"/>
                <w:shd w:fill="FFFFFF" w:val="clear"/>
              </w:rPr>
              <w:t>Drugs: norms and risks (including the law)</w:t>
            </w:r>
          </w:p>
        </w:tc>
        <w:tc>
          <w:tcPr>
            <w:tcW w:w="2512" w:type="dxa"/>
            <w:tcBorders>
              <w:top w:val="single" w:sz="4" w:space="0" w:color="000000"/>
              <w:left w:val="single" w:sz="4" w:space="0" w:color="000000"/>
              <w:bottom w:val="single" w:sz="4" w:space="0" w:color="000000"/>
              <w:right w:val="single" w:sz="4" w:space="0" w:color="000000"/>
            </w:tcBorders>
          </w:tcPr>
          <w:p>
            <w:pPr>
              <w:pStyle w:val="Normal"/>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Understanding media bias, including social media</w:t>
            </w:r>
          </w:p>
          <w:p>
            <w:pPr>
              <w:pStyle w:val="Normal"/>
              <w:rPr>
                <w:rFonts w:eastAsia="Times New Roman" w:cs="Arial"/>
                <w:sz w:val="18"/>
                <w:szCs w:val="18"/>
              </w:rPr>
            </w:pPr>
            <w:r>
              <w:rPr>
                <w:rFonts w:eastAsia="Times New Roman" w:cs="Arial"/>
                <w:bCs/>
                <w:sz w:val="18"/>
                <w:szCs w:val="18"/>
              </w:rPr>
              <w:t>Caring: communities and the environment</w:t>
            </w:r>
          </w:p>
          <w:p>
            <w:pPr>
              <w:pStyle w:val="Normal"/>
              <w:rPr>
                <w:rFonts w:eastAsia="Times New Roman" w:cs="Arial"/>
                <w:bCs/>
                <w:sz w:val="18"/>
                <w:szCs w:val="18"/>
              </w:rPr>
            </w:pPr>
            <w:r>
              <w:rPr>
                <w:rFonts w:eastAsia="Times New Roman" w:cs="Arial"/>
                <w:bCs/>
                <w:sz w:val="18"/>
                <w:szCs w:val="18"/>
              </w:rPr>
              <w:t>Earning and saving money</w:t>
            </w:r>
          </w:p>
          <w:p>
            <w:pPr>
              <w:pStyle w:val="Normal"/>
              <w:spacing w:before="0" w:after="120"/>
              <w:rPr>
                <w:rFonts w:eastAsia="Times New Roman" w:cs="Arial"/>
                <w:sz w:val="18"/>
                <w:szCs w:val="18"/>
              </w:rPr>
            </w:pPr>
            <w:r>
              <w:rPr>
                <w:rFonts w:eastAsia="Times New Roman" w:cs="Arial"/>
                <w:bCs/>
                <w:sz w:val="18"/>
                <w:szCs w:val="18"/>
              </w:rPr>
              <w:t>Understanding democracy</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lineRule="atLeast" w:line="0"/>
              <w:ind w:hanging="113" w:right="113"/>
              <w:rPr>
                <w:rFonts w:eastAsia="Times New Roman" w:cs="Arial"/>
                <w:sz w:val="18"/>
                <w:szCs w:val="18"/>
              </w:rPr>
            </w:pPr>
            <w:r>
              <w:rPr>
                <w:rFonts w:eastAsia="Arial" w:cs="Arial"/>
                <w:bCs/>
                <w:sz w:val="18"/>
                <w:szCs w:val="18"/>
              </w:rPr>
              <w:t xml:space="preserve">  </w:t>
            </w:r>
            <w:r>
              <w:rPr>
                <w:rFonts w:eastAsia="Times New Roman" w:cs="Arial"/>
                <w:bCs/>
                <w:sz w:val="18"/>
                <w:szCs w:val="18"/>
              </w:rPr>
              <w:t>Aspirations and goal setting</w:t>
            </w:r>
          </w:p>
          <w:p>
            <w:pPr>
              <w:pStyle w:val="Normal"/>
              <w:ind w:hanging="113" w:right="113"/>
              <w:rPr/>
            </w:pPr>
            <w:r>
              <w:rPr>
                <w:rFonts w:eastAsia="Arial" w:cs="Arial"/>
                <w:bCs/>
                <w:sz w:val="18"/>
                <w:szCs w:val="18"/>
              </w:rPr>
              <w:t xml:space="preserve">  </w:t>
            </w:r>
            <w:r>
              <w:rPr>
                <w:rFonts w:eastAsia="Times New Roman" w:cs="Arial"/>
                <w:bCs/>
                <w:sz w:val="18"/>
                <w:szCs w:val="18"/>
              </w:rPr>
              <w:t>Managi</w:t>
            </w:r>
            <w:r>
              <w:rPr>
                <w:rFonts w:eastAsia="Times New Roman" w:cs="Arial"/>
                <w:bCs/>
                <w:sz w:val="18"/>
                <w:szCs w:val="18"/>
              </w:rPr>
              <w:t>ng risk</w:t>
            </w:r>
          </w:p>
          <w:p>
            <w:pPr>
              <w:pStyle w:val="Normal"/>
              <w:ind w:hanging="113" w:right="113"/>
              <w:rPr>
                <w:rFonts w:cs="Arial"/>
                <w:bCs/>
                <w:sz w:val="18"/>
                <w:szCs w:val="18"/>
              </w:rPr>
            </w:pPr>
            <w:r>
              <w:rPr>
                <w:rFonts w:eastAsia="Arial" w:cs="Arial"/>
                <w:bCs/>
                <w:sz w:val="18"/>
                <w:szCs w:val="18"/>
              </w:rPr>
              <w:t xml:space="preserve"> </w:t>
            </w:r>
            <w:r>
              <w:rPr>
                <w:rFonts w:eastAsia="Times New Roman" w:cs="Arial"/>
                <w:bCs/>
                <w:sz w:val="18"/>
                <w:szCs w:val="18"/>
              </w:rPr>
              <w:t>Looking after my mental health</w:t>
            </w:r>
          </w:p>
          <w:p>
            <w:pPr>
              <w:pStyle w:val="Normal"/>
              <w:ind w:hanging="113" w:right="113"/>
              <w:rPr>
                <w:rFonts w:eastAsia="Times New Roman" w:cs="Arial"/>
                <w:bCs/>
                <w:sz w:val="18"/>
                <w:szCs w:val="18"/>
              </w:rPr>
            </w:pPr>
            <w:r>
              <w:rPr>
                <w:rFonts w:eastAsia="Times New Roman" w:cs="Arial"/>
                <w:bCs/>
                <w:sz w:val="18"/>
                <w:szCs w:val="18"/>
              </w:rPr>
            </w:r>
          </w:p>
          <w:p>
            <w:pPr>
              <w:pStyle w:val="Normal"/>
              <w:spacing w:before="0" w:after="120"/>
              <w:ind w:right="113"/>
              <w:rPr>
                <w:rFonts w:eastAsia="Times New Roman" w:cs="Arial"/>
                <w:sz w:val="18"/>
                <w:szCs w:val="18"/>
              </w:rPr>
            </w:pPr>
            <w:r>
              <w:rPr>
                <w:rFonts w:eastAsia="Times New Roman" w:cs="Arial"/>
                <w:sz w:val="18"/>
                <w:szCs w:val="18"/>
              </w:rPr>
            </w:r>
          </w:p>
        </w:tc>
        <w:tc>
          <w:tcPr>
            <w:tcW w:w="2268" w:type="dxa"/>
            <w:tcBorders>
              <w:top w:val="single" w:sz="4" w:space="0" w:color="000000"/>
              <w:left w:val="single" w:sz="4" w:space="0" w:color="000000"/>
              <w:bottom w:val="single" w:sz="4" w:space="0" w:color="000000"/>
              <w:right w:val="single" w:sz="4" w:space="0" w:color="000000"/>
            </w:tcBorders>
          </w:tcPr>
          <w:p>
            <w:pPr>
              <w:pStyle w:val="Normal"/>
              <w:rPr>
                <w:rFonts w:eastAsia="Times New Roman" w:cs="Arial"/>
                <w:bCs/>
                <w:sz w:val="18"/>
                <w:szCs w:val="18"/>
              </w:rPr>
            </w:pPr>
            <w:r>
              <w:rPr>
                <w:rFonts w:eastAsia="Times New Roman" w:cs="Arial"/>
                <w:bCs/>
                <w:sz w:val="18"/>
                <w:szCs w:val="18"/>
              </w:rPr>
              <w:t>Coping with changes</w:t>
            </w:r>
          </w:p>
          <w:p>
            <w:pPr>
              <w:pStyle w:val="Normal"/>
              <w:rPr>
                <w:rFonts w:eastAsia="Times New Roman" w:cs="Arial"/>
                <w:sz w:val="18"/>
                <w:szCs w:val="18"/>
              </w:rPr>
            </w:pPr>
            <w:r>
              <w:rPr>
                <w:rFonts w:eastAsia="Times New Roman" w:cs="Arial"/>
                <w:bCs/>
                <w:sz w:val="18"/>
                <w:szCs w:val="18"/>
              </w:rPr>
              <w:t xml:space="preserve">Keeping safe </w:t>
            </w:r>
          </w:p>
          <w:p>
            <w:pPr>
              <w:pStyle w:val="Normal"/>
              <w:spacing w:lineRule="atLeast" w:line="0"/>
              <w:rPr>
                <w:rFonts w:eastAsia="Times New Roman" w:cs="Arial"/>
                <w:sz w:val="18"/>
                <w:szCs w:val="18"/>
              </w:rPr>
            </w:pPr>
            <w:r>
              <w:rPr>
                <w:rFonts w:eastAsia="Times New Roman" w:cs="Arial"/>
                <w:bCs/>
                <w:sz w:val="18"/>
                <w:szCs w:val="18"/>
              </w:rPr>
              <w:t>Body Image</w:t>
            </w:r>
          </w:p>
          <w:p>
            <w:pPr>
              <w:pStyle w:val="Normal"/>
              <w:spacing w:lineRule="atLeast" w:line="0"/>
              <w:rPr>
                <w:rFonts w:eastAsia="Times New Roman" w:cs="Arial"/>
                <w:bCs/>
                <w:sz w:val="18"/>
                <w:szCs w:val="18"/>
              </w:rPr>
            </w:pPr>
            <w:r>
              <w:rPr>
                <w:rFonts w:eastAsia="Times New Roman" w:cs="Arial"/>
                <w:bCs/>
                <w:sz w:val="18"/>
                <w:szCs w:val="18"/>
              </w:rPr>
              <w:t>Sex education</w:t>
            </w:r>
          </w:p>
          <w:p>
            <w:pPr>
              <w:pStyle w:val="Normal"/>
              <w:spacing w:lineRule="atLeast" w:line="0" w:before="0" w:after="120"/>
              <w:rPr>
                <w:rFonts w:eastAsia="Times New Roman" w:cs="Arial"/>
                <w:sz w:val="18"/>
                <w:szCs w:val="18"/>
              </w:rPr>
            </w:pPr>
            <w:r>
              <w:rPr>
                <w:rFonts w:eastAsia="Times New Roman" w:cs="Arial"/>
                <w:sz w:val="18"/>
                <w:szCs w:val="18"/>
              </w:rPr>
              <w:t>Self-esteem</w:t>
            </w:r>
          </w:p>
        </w:tc>
      </w:tr>
    </w:tbl>
    <w:p>
      <w:pPr>
        <w:pStyle w:val="Normal"/>
        <w:spacing w:lineRule="auto" w:line="264"/>
        <w:rPr>
          <w:rFonts w:ascii="Calibri" w:hAnsi="Calibri" w:cs="Calibri"/>
          <w:sz w:val="24"/>
          <w:lang w:val="en-GB"/>
        </w:rPr>
      </w:pPr>
      <w:r>
        <w:rPr>
          <w:rFonts w:cs="Calibri" w:ascii="Calibri" w:hAnsi="Calibri"/>
          <w:sz w:val="24"/>
          <w:lang w:val="en-GB"/>
        </w:rPr>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5"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1bodycopy10pt"/>
      </w:pPr>
      <w:r>
        <w:t>The curriculum map will be reviewed annually against the full statutory 2026 RSHE guidance to ensure that all required primary Relationships Education and Health Education content is covered, including wellbeing and mental health, online wellbeing, physical health and fitness, healthy eating, drugs/alcohol/tobacco/vaping, health protection and prevention, personal safety, basic first aid, and developing bodies, alongside the statutory Science curriculum.</w:t>
      </w:r>
    </w:p>
    <w:p>
      <w:pPr>
        <w:pStyle w:val="Heading1"/>
        <w:spacing w:lineRule="auto" w:line="264"/>
        <w:rPr>
          <w:rFonts w:ascii="Calibri" w:hAnsi="Calibri" w:cs="Calibri"/>
          <w:b/>
          <w:bCs/>
          <w:sz w:val="24"/>
          <w:lang w:val="en-GB"/>
        </w:rPr>
      </w:pPr>
      <w:r>
        <w:rPr>
          <w:rFonts w:cs="Calibri" w:ascii="Calibri" w:hAnsi="Calibri"/>
          <w:b/>
          <w:bCs/>
          <w:sz w:val="24"/>
          <w:lang w:val="en-GB"/>
        </w:rPr>
        <w:t>Appendix 2: End-of-primary expectations</w:t>
      </w:r>
    </w:p>
    <w:p>
      <w:pPr>
        <w:pStyle w:val="Normal"/>
        <w:spacing w:lineRule="auto" w:line="264"/>
        <w:rPr>
          <w:rFonts w:ascii="Calibri" w:hAnsi="Calibri" w:cs="Calibri"/>
          <w:sz w:val="24"/>
          <w:lang w:val="en-GB"/>
        </w:rPr>
      </w:pPr>
      <w:r>
        <w:rPr>
          <w:rFonts w:cs="Calibri" w:ascii="Calibri" w:hAnsi="Calibri"/>
          <w:sz w:val="24"/>
          <w:lang w:val="en-GB"/>
        </w:rPr>
        <w:t>By the end of primary school, pupils should have developed age-appropriate knowledge and skills enabling them to:</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characteristics of healthy and unhealthy relationships;</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the importance of family and caring relationships;</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demonstrate kindness, respect and tolerance;</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manage friendships and disagreements;</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and challenge bullying;</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boundaries and privacy;</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that their body belongs to them;</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inappropriate or unsafe contact;</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identify trusted adults and know how to seek help;</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emotional, physical and sexual abuse;</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that abuse is never the child's fault;</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behave respectfully online;</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online risks and harmful content or contact;</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the importance of protecting personal information;</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recognise stereotypes and understand how they can be harmful;</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physical and emotional changes associated with puberty;</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understand the importance of personal hygiene;</w:t>
      </w:r>
    </w:p>
    <w:p>
      <w:pPr>
        <w:pStyle w:val="Normal"/>
        <w:numPr>
          <w:ilvl w:val="0"/>
          <w:numId w:val="21"/>
        </w:numPr>
        <w:spacing w:lineRule="auto" w:line="264"/>
        <w:rPr>
          <w:rFonts w:ascii="Calibri" w:hAnsi="Calibri" w:cs="Calibri"/>
          <w:sz w:val="24"/>
          <w:lang w:val="en-GB"/>
        </w:rPr>
      </w:pPr>
      <w:r>
        <w:rPr>
          <w:rFonts w:cs="Calibri" w:ascii="Calibri" w:hAnsi="Calibri"/>
          <w:sz w:val="24"/>
          <w:lang w:val="en-GB"/>
        </w:rPr>
        <w:t>know where to seek help and support.</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6"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Appendix 3: Withdrawal from additional Sex Education</w:t>
      </w:r>
    </w:p>
    <w:p>
      <w:pPr>
        <w:pStyle w:val="Normal"/>
        <w:spacing w:lineRule="auto" w:line="264"/>
        <w:rPr>
          <w:rFonts w:ascii="Calibri" w:hAnsi="Calibri" w:cs="Calibri"/>
          <w:sz w:val="24"/>
          <w:lang w:val="en-GB"/>
        </w:rPr>
      </w:pPr>
      <w:r>
        <w:rPr>
          <w:rFonts w:cs="Calibri" w:ascii="Calibri" w:hAnsi="Calibri"/>
          <w:sz w:val="24"/>
          <w:lang w:val="en-GB"/>
        </w:rPr>
        <w:t>Parents who wish to request withdrawal from additional primary Sex Education should contact the Headteacher.</w:t>
      </w:r>
    </w:p>
    <w:p>
      <w:pPr>
        <w:pStyle w:val="Normal"/>
        <w:spacing w:lineRule="auto" w:line="264"/>
        <w:rPr>
          <w:rFonts w:ascii="Calibri" w:hAnsi="Calibri" w:cs="Calibri"/>
          <w:sz w:val="24"/>
          <w:lang w:val="en-GB"/>
        </w:rPr>
      </w:pPr>
      <w:r>
        <w:rPr>
          <w:rFonts w:cs="Calibri" w:ascii="Calibri" w:hAnsi="Calibri"/>
          <w:sz w:val="24"/>
          <w:lang w:val="en-GB"/>
        </w:rPr>
        <w:t>The school will:</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clarify which lesson/content the request relates to;</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explain whether the content is statutory Relationships Education, statutory Science or additional Sex Education;</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explain the purpose and educational context of the lesson;</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discuss the request with the parent and, where appropriate, the pupil;</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confirm the outcome in writing;</w:t>
      </w:r>
    </w:p>
    <w:p>
      <w:pPr>
        <w:pStyle w:val="Normal"/>
        <w:numPr>
          <w:ilvl w:val="0"/>
          <w:numId w:val="6"/>
        </w:numPr>
        <w:spacing w:lineRule="auto" w:line="264"/>
        <w:rPr>
          <w:rFonts w:ascii="Calibri" w:hAnsi="Calibri" w:cs="Calibri"/>
          <w:sz w:val="24"/>
          <w:lang w:val="en-GB"/>
        </w:rPr>
      </w:pPr>
      <w:r>
        <w:rPr>
          <w:rFonts w:cs="Calibri" w:ascii="Calibri" w:hAnsi="Calibri"/>
          <w:sz w:val="24"/>
          <w:lang w:val="en-GB"/>
        </w:rPr>
        <w:t>provide appropriate and purposeful education for the pupil during any period of withdrawal.</w:t>
      </w:r>
    </w:p>
    <w:p>
      <w:pPr>
        <w:pStyle w:val="Normal"/>
        <w:spacing w:lineRule="auto" w:line="264"/>
        <w:rPr>
          <w:rFonts w:ascii="Calibri" w:hAnsi="Calibri" w:cs="Calibri"/>
          <w:sz w:val="24"/>
          <w:lang w:val="en-GB"/>
        </w:rPr>
      </w:pPr>
      <w:r>
        <w:rPr>
          <w:rFonts w:cs="Calibri" w:ascii="Calibri" w:hAnsi="Calibri"/>
          <w:sz w:val="24"/>
          <w:lang w:val="en-GB"/>
        </w:rPr>
        <w:t>There is no parental right of withdrawal from Relationships Education, Health Education or statutory Science.</w:t>
      </w:r>
    </w:p>
    <w:p>
      <w:pPr>
        <w:pStyle w:val="Normal"/>
        <w:spacing w:lineRule="auto" w:line="264"/>
        <w:rPr>
          <w:rFonts w:ascii="Calibri" w:hAnsi="Calibri" w:cs="Calibri"/>
          <w:sz w:val="24"/>
          <w:lang w:val="en-GB"/>
        </w:rPr>
      </w:pPr>
      <w:r>
        <w:rPr>
          <w:rFonts w:cs="Calibri" w:ascii="Calibri" w:hAnsi="Calibri"/>
          <w:sz w:val="24"/>
          <w:lang w:val="en-GB"/>
        </w:rPr>
        <mc:AlternateContent>
          <mc:Choice Requires="wps">
            <w:drawing>
              <wp:inline distT="0" distB="0" distL="0" distR="0">
                <wp:extent cx="5943600" cy="19050"/>
                <wp:effectExtent l="0" t="0" r="0" b="0"/>
                <wp:docPr id="27" name=""/>
                <a:graphic xmlns:a="http://schemas.openxmlformats.org/drawingml/2006/main">
                  <a:graphicData uri="http://schemas.microsoft.com/office/word/2010/wordprocessingShape">
                    <wps:wsp>
                      <wps:cNvSpPr/>
                      <wps:spPr>
                        <a:xfrm>
                          <a:off x="0" y="0"/>
                          <a:ext cx="5943600" cy="19080"/>
                        </a:xfrm>
                        <a:prstGeom prst="rect">
                          <a:avLst/>
                        </a:prstGeom>
                        <a:solidFill>
                          <a:srgbClr val="a0a0a0"/>
                        </a:solidFill>
                        <a:ln w="0">
                          <a:noFill/>
                        </a:ln>
                      </wps:spPr>
                      <wps:style>
                        <a:lnRef idx="0"/>
                        <a:fillRef idx="0"/>
                        <a:effectRef idx="0"/>
                        <a:fontRef idx="minor"/>
                      </wps:style>
                      <wps:bodyPr/>
                    </wps:wsp>
                  </a:graphicData>
                </a:graphic>
              </wp:inline>
            </w:drawing>
          </mc:Choice>
          <mc:Fallback>
            <w:pict>
              <v:rect id="shape_0" fillcolor="#a0a0a0" stroked="f" o:allowincell="f" style="position:absolute;margin-left:0pt;margin-top:-1.55pt;width:467.95pt;height:1.45pt;mso-wrap-style:none;v-text-anchor:middle;mso-position-vertical:top">
                <v:fill o:detectmouseclick="t" type="solid" color2="#5f5f5f"/>
                <v:stroke color="#3465a4" joinstyle="round" endcap="flat"/>
                <w10:wrap type="square"/>
              </v:rect>
            </w:pict>
          </mc:Fallback>
        </mc:AlternateContent>
      </w:r>
    </w:p>
    <w:p>
      <w:pPr>
        <w:pStyle w:val="Heading1"/>
        <w:spacing w:lineRule="auto" w:line="264"/>
        <w:rPr>
          <w:rFonts w:ascii="Calibri" w:hAnsi="Calibri" w:cs="Calibri"/>
          <w:b/>
          <w:bCs/>
          <w:sz w:val="24"/>
          <w:lang w:val="en-GB"/>
        </w:rPr>
      </w:pPr>
      <w:r>
        <w:rPr>
          <w:rFonts w:cs="Calibri" w:ascii="Calibri" w:hAnsi="Calibri"/>
          <w:b/>
          <w:bCs/>
          <w:sz w:val="24"/>
          <w:lang w:val="en-GB"/>
        </w:rPr>
        <w:t>Appendix 4: Related school policies</w:t>
      </w:r>
    </w:p>
    <w:p>
      <w:pPr>
        <w:pStyle w:val="Normal"/>
        <w:spacing w:lineRule="auto" w:line="264"/>
        <w:rPr>
          <w:rFonts w:ascii="Calibri" w:hAnsi="Calibri" w:cs="Calibri"/>
          <w:sz w:val="24"/>
          <w:lang w:val="en-GB"/>
        </w:rPr>
      </w:pPr>
      <w:r>
        <w:rPr>
          <w:rFonts w:cs="Calibri" w:ascii="Calibri" w:hAnsi="Calibri"/>
          <w:sz w:val="24"/>
          <w:lang w:val="en-GB"/>
        </w:rPr>
        <w:t>This policy should be read alongside:</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Safeguarding and Child Protection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PSHE/Health Education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Behaviour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Anti-Bullying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Online Safety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Equality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SEND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Science Curriculum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Religious Education Policy;</w:t>
      </w:r>
    </w:p>
    <w:p>
      <w:pPr>
        <w:pStyle w:val="Normal"/>
        <w:numPr>
          <w:ilvl w:val="0"/>
          <w:numId w:val="16"/>
        </w:numPr>
        <w:spacing w:lineRule="auto" w:line="264"/>
        <w:rPr>
          <w:rFonts w:ascii="Calibri" w:hAnsi="Calibri" w:cs="Calibri"/>
          <w:sz w:val="24"/>
          <w:lang w:val="en-GB"/>
        </w:rPr>
      </w:pPr>
      <w:r>
        <w:rPr>
          <w:rFonts w:cs="Calibri" w:ascii="Calibri" w:hAnsi="Calibri"/>
          <w:sz w:val="24"/>
          <w:lang w:val="en-GB"/>
        </w:rPr>
        <w:t>Attendance and pastoral policies where relevant.</w:t>
      </w:r>
    </w:p>
    <w:p>
      <w:pPr>
        <w:pStyle w:val="Normal"/>
        <w:spacing w:lineRule="auto" w:line="264"/>
        <w:rPr>
          <w:rFonts w:ascii="Calibri" w:hAnsi="Calibri" w:cs="Calibri"/>
          <w:sz w:val="24"/>
          <w:lang w:val="en-GB"/>
        </w:rPr>
      </w:pPr>
      <w:r>
        <w:rPr>
          <w:rFonts w:cs="Calibri" w:ascii="Calibri" w:hAnsi="Calibri"/>
          <w:sz w:val="24"/>
          <w:lang w:val="en-GB"/>
        </w:rPr>
      </w:r>
    </w:p>
    <w:p>
      <w:pPr>
        <w:pStyle w:val="Normal"/>
        <w:rPr>
          <w:rFonts w:ascii="SassoonCRInfant;Corbel" w:hAnsi="SassoonCRInfant;Corbel" w:cs="SassoonCRInfant;Corbel"/>
          <w:b/>
          <w:sz w:val="28"/>
        </w:rPr>
      </w:pPr>
      <w:r>
        <w:rPr>
          <w:rFonts w:eastAsia="Arial"/>
          <w:lang w:val="en-US" w:eastAsia="en-US"/>
        </w:rPr>
        <w:t xml:space="preserve"> </w:t>
      </w:r>
      <w:r>
        <w:br w:type="page"/>
      </w:r>
    </w:p>
    <w:p>
      <w:pPr>
        <w:pStyle w:val="Normal"/>
        <w:rPr>
          <w:rFonts w:ascii="SassoonCRInfant;Corbel" w:hAnsi="SassoonCRInfant;Corbel" w:cs="SassoonCRInfant;Corbel"/>
          <w:b/>
          <w:sz w:val="28"/>
        </w:rPr>
      </w:pPr>
      <w:r>
        <w:rPr>
          <w:rFonts w:cs="SassoonCRInfant;Corbel" w:ascii="SassoonCRInfant;Corbel" w:hAnsi="SassoonCRInfant;Corbel"/>
          <w:b/>
          <w:sz w:val="28"/>
        </w:rPr>
      </w:r>
    </w:p>
    <w:p>
      <w:pPr>
        <w:pStyle w:val="Normal"/>
        <w:rPr>
          <w:rFonts w:ascii="SassoonCRInfant;Corbel" w:hAnsi="SassoonCRInfant;Corbel" w:cs="SassoonCRInfant;Corbel"/>
          <w:b/>
          <w:sz w:val="28"/>
        </w:rPr>
      </w:pPr>
      <w:r>
        <w:rPr>
          <w:rFonts w:cs="SassoonCRInfant;Corbel" w:ascii="SassoonCRInfant;Corbel" w:hAnsi="SassoonCRInfant;Corbel"/>
          <w:b/>
          <w:sz w:val="28"/>
        </w:rPr>
      </w:r>
      <w:r>
        <w:br w:type="page"/>
      </w:r>
    </w:p>
    <w:p>
      <w:pPr>
        <w:pStyle w:val="Normal"/>
        <w:rPr/>
      </w:pPr>
      <w:r>
        <w:rPr/>
      </w:r>
    </w:p>
    <w:tbl>
      <w:tblPr>
        <w:tblW w:w="15614" w:type="dxa"/>
        <w:jc w:val="left"/>
        <w:tblInd w:w="0" w:type="dxa"/>
        <w:tblLayout w:type="fixed"/>
        <w:tblCellMar>
          <w:top w:w="0" w:type="dxa"/>
          <w:left w:w="108" w:type="dxa"/>
          <w:bottom w:w="0" w:type="dxa"/>
          <w:right w:w="108" w:type="dxa"/>
        </w:tblCellMar>
      </w:tblPr>
      <w:tblGrid>
        <w:gridCol w:w="2607"/>
        <w:gridCol w:w="1728"/>
        <w:gridCol w:w="865"/>
        <w:gridCol w:w="1728"/>
        <w:gridCol w:w="869"/>
        <w:gridCol w:w="867"/>
        <w:gridCol w:w="1739"/>
        <w:gridCol w:w="1737"/>
        <w:gridCol w:w="867"/>
        <w:gridCol w:w="867"/>
        <w:gridCol w:w="1740"/>
      </w:tblGrid>
      <w:tr>
        <w:trPr/>
        <w:tc>
          <w:tcPr>
            <w:tcW w:w="15614" w:type="dxa"/>
            <w:gridSpan w:val="11"/>
            <w:tcBorders>
              <w:top w:val="single" w:sz="4" w:space="0" w:color="000000"/>
              <w:left w:val="single" w:sz="4" w:space="0" w:color="000000"/>
              <w:bottom w:val="single" w:sz="4" w:space="0" w:color="000000"/>
              <w:right w:val="single" w:sz="4" w:space="0" w:color="000000"/>
            </w:tcBorders>
            <w:shd w:fill="ED7D31" w:val="clear"/>
          </w:tcPr>
          <w:p>
            <w:pPr>
              <w:pStyle w:val="Normal"/>
              <w:tabs>
                <w:tab w:val="left" w:pos="720" w:leader="none"/>
              </w:tabs>
              <w:spacing w:before="0" w:after="120"/>
              <w:jc w:val="center"/>
              <w:rPr>
                <w:rFonts w:cs="Arial"/>
                <w:sz w:val="28"/>
              </w:rPr>
            </w:pPr>
            <w:r>
              <w:rPr>
                <w:rFonts w:cs="Arial"/>
                <w:sz w:val="28"/>
              </w:rPr>
              <w:t>Year 1</w:t>
            </w:r>
          </w:p>
        </w:tc>
      </w:tr>
      <w:tr>
        <w:trPr/>
        <w:tc>
          <w:tcPr>
            <w:tcW w:w="7797"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0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7"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07"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06"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7"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c>
          <w:tcPr>
            <w:tcW w:w="2607" w:type="dxa"/>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To understand that families, both in school or in the wider world, sometimes look different from their own family, but that they should respect those differences and know that families are also characterised by love and care.</w:t>
            </w:r>
          </w:p>
          <w:p>
            <w:pPr>
              <w:pStyle w:val="3Bulletedcopyblue"/>
              <w:numPr>
                <w:ilvl w:val="0"/>
                <w:numId w:val="0"/>
              </w:numPr>
              <w:ind w:hanging="0" w:left="360" w:right="0"/>
              <w:rPr/>
            </w:pPr>
            <w:r>
              <w:rPr/>
            </w:r>
          </w:p>
          <w:p>
            <w:pPr>
              <w:pStyle w:val="Normal"/>
              <w:spacing w:before="0" w:after="120"/>
              <w:rPr>
                <w:b/>
                <w:sz w:val="24"/>
              </w:rPr>
            </w:pPr>
            <w:r>
              <w:rPr>
                <w:b/>
                <w:sz w:val="24"/>
              </w:rPr>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understand that they are able to choose friendships which can make them happy and they learn how to develop strategies to manage positive relationships.</w:t>
            </w:r>
          </w:p>
          <w:p>
            <w:pPr>
              <w:pStyle w:val="Normal"/>
              <w:spacing w:before="0" w:after="120"/>
              <w:rPr>
                <w:rFonts w:cs="Arial"/>
                <w:szCs w:val="20"/>
              </w:rPr>
            </w:pPr>
            <w:r>
              <w:rPr>
                <w:rFonts w:cs="Arial"/>
                <w:szCs w:val="20"/>
              </w:rPr>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To understand the importance of self-respect and how this links to their own happiness. </w:t>
            </w:r>
          </w:p>
          <w:p>
            <w:pPr>
              <w:pStyle w:val="3Bulletedcopyblue"/>
              <w:numPr>
                <w:ilvl w:val="0"/>
                <w:numId w:val="0"/>
              </w:numPr>
              <w:ind w:hanging="0" w:left="0"/>
              <w:rPr/>
            </w:pPr>
            <w:r>
              <w:rPr/>
              <w:t xml:space="preserve">To understand the importance of respecting others, even when they are very different from them (for example, physically, in character, personality or backgrounds), or make different choices or have different preferences or beliefs. </w:t>
            </w:r>
          </w:p>
          <w:p>
            <w:pPr>
              <w:pStyle w:val="3Bulletedcopyblue"/>
              <w:numPr>
                <w:ilvl w:val="0"/>
                <w:numId w:val="0"/>
              </w:numPr>
              <w:ind w:hanging="170" w:left="595" w:right="0"/>
              <w:rPr/>
            </w:pPr>
            <w:r>
              <w:rPr/>
            </w:r>
          </w:p>
          <w:p>
            <w:pPr>
              <w:pStyle w:val="Normal"/>
              <w:spacing w:before="0" w:after="120"/>
              <w:rPr>
                <w:rFonts w:cs="Arial"/>
                <w:szCs w:val="20"/>
              </w:rPr>
            </w:pPr>
            <w:r>
              <w:rPr>
                <w:rFonts w:cs="Arial"/>
                <w:szCs w:val="20"/>
              </w:rPr>
            </w:r>
          </w:p>
        </w:tc>
        <w:tc>
          <w:tcPr>
            <w:tcW w:w="2606"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are able to talk about feelings, to recognise how others show feelings and know how to respond.</w:t>
            </w:r>
          </w:p>
          <w:p>
            <w:pPr>
              <w:pStyle w:val="Normal"/>
              <w:rPr>
                <w:rFonts w:cs="Arial"/>
                <w:sz w:val="24"/>
                <w:szCs w:val="20"/>
              </w:rPr>
            </w:pPr>
            <w:r>
              <w:rPr>
                <w:rFonts w:cs="Arial"/>
                <w:sz w:val="24"/>
                <w:szCs w:val="20"/>
              </w:rPr>
            </w:r>
          </w:p>
          <w:p>
            <w:pPr>
              <w:pStyle w:val="Normal"/>
              <w:rPr>
                <w:sz w:val="24"/>
              </w:rPr>
            </w:pPr>
            <w:r>
              <w:rPr>
                <w:sz w:val="24"/>
              </w:rPr>
            </w:r>
          </w:p>
          <w:p>
            <w:pPr>
              <w:pStyle w:val="Normal"/>
              <w:spacing w:before="0" w:after="120"/>
              <w:rPr>
                <w:b/>
                <w:sz w:val="24"/>
              </w:rPr>
            </w:pPr>
            <w:r>
              <w:rPr>
                <w:b/>
                <w:sz w:val="24"/>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can correctly name the main parts of the body, including external genitalia using scientific terms.</w:t>
            </w:r>
          </w:p>
          <w:p>
            <w:pPr>
              <w:pStyle w:val="Normal"/>
              <w:rPr>
                <w:rFonts w:cs="Arial"/>
                <w:szCs w:val="20"/>
              </w:rPr>
            </w:pPr>
            <w:r>
              <w:rPr>
                <w:rFonts w:cs="Arial"/>
                <w:szCs w:val="20"/>
              </w:rPr>
            </w:r>
          </w:p>
          <w:p>
            <w:pPr>
              <w:pStyle w:val="Normal"/>
              <w:spacing w:before="0" w:after="120"/>
              <w:rPr>
                <w:b/>
                <w:sz w:val="24"/>
              </w:rPr>
            </w:pPr>
            <w:r>
              <w:rPr>
                <w:b/>
                <w:sz w:val="24"/>
              </w:rPr>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 xml:space="preserve">To know that each person’s body belongs to them, and the differences between appropriate and inappropriate or unsafe physical, and other, contact. </w:t>
            </w:r>
          </w:p>
          <w:p>
            <w:pPr>
              <w:pStyle w:val="Normal"/>
              <w:rPr>
                <w:rFonts w:cs="Arial"/>
                <w:szCs w:val="20"/>
              </w:rPr>
            </w:pPr>
            <w:r>
              <w:rPr>
                <w:rFonts w:cs="Arial"/>
                <w:szCs w:val="20"/>
              </w:rPr>
            </w:r>
          </w:p>
          <w:p>
            <w:pPr>
              <w:pStyle w:val="Normal"/>
              <w:rPr/>
            </w:pPr>
            <w:r>
              <w:rPr>
                <w:rFonts w:cs="Arial"/>
                <w:szCs w:val="20"/>
              </w:rPr>
              <w:t xml:space="preserve">To understand the concept of privacy and the implications of it for both children and adults; including that it is not always right to keep secrets if they relate to being safe. </w:t>
            </w:r>
          </w:p>
          <w:p>
            <w:pPr>
              <w:pStyle w:val="Normal"/>
              <w:rPr>
                <w:rFonts w:cs="Arial"/>
                <w:szCs w:val="20"/>
              </w:rPr>
            </w:pPr>
            <w:r>
              <w:rPr>
                <w:rFonts w:cs="Arial"/>
                <w:szCs w:val="20"/>
              </w:rPr>
            </w:r>
          </w:p>
          <w:p>
            <w:pPr>
              <w:pStyle w:val="Normal"/>
              <w:spacing w:before="0" w:after="120"/>
              <w:rPr>
                <w:rFonts w:cs="Arial"/>
                <w:szCs w:val="20"/>
              </w:rPr>
            </w:pPr>
            <w:r>
              <w:rPr>
                <w:rFonts w:cs="Arial"/>
                <w:szCs w:val="20"/>
              </w:rPr>
              <w:t>To know where to get advice e.g. family, school and/or other sources.</w:t>
            </w:r>
          </w:p>
        </w:tc>
      </w:tr>
      <w:tr>
        <w:trPr/>
        <w:tc>
          <w:tcPr>
            <w:tcW w:w="2607" w:type="dxa"/>
            <w:tcBorders>
              <w:top w:val="single" w:sz="4" w:space="0" w:color="000000"/>
              <w:left w:val="single" w:sz="4" w:space="0" w:color="000000"/>
              <w:bottom w:val="single" w:sz="4" w:space="0" w:color="000000"/>
              <w:right w:val="single" w:sz="4" w:space="0" w:color="000000"/>
            </w:tcBorders>
          </w:tcPr>
          <w:p>
            <w:pPr>
              <w:pStyle w:val="Normal"/>
              <w:rPr>
                <w:b/>
                <w:bCs/>
                <w:color w:val="0070C0"/>
              </w:rPr>
            </w:pPr>
            <w:r>
              <w:rPr>
                <w:b/>
                <w:bCs/>
                <w:color w:val="0070C0"/>
              </w:rPr>
              <w:t>Want to Play Trucks</w:t>
            </w:r>
          </w:p>
          <w:p>
            <w:pPr>
              <w:pStyle w:val="Normal"/>
              <w:rPr>
                <w:color w:val="0070C0"/>
              </w:rPr>
            </w:pPr>
            <w:r>
              <w:rPr>
                <w:color w:val="0070C0"/>
              </w:rPr>
              <w:t xml:space="preserve">Ann Stott and Bob Graham </w:t>
            </w:r>
          </w:p>
          <w:p>
            <w:pPr>
              <w:pStyle w:val="Normal"/>
              <w:rPr>
                <w:color w:val="0070C0"/>
              </w:rPr>
            </w:pPr>
            <w:r>
              <w:rPr>
                <w:color w:val="0070C0"/>
              </w:rPr>
            </w:r>
          </w:p>
          <w:p>
            <w:pPr>
              <w:pStyle w:val="Normal"/>
              <w:rPr>
                <w:b/>
                <w:bCs/>
                <w:color w:val="0070C0"/>
              </w:rPr>
            </w:pPr>
            <w:r>
              <w:rPr>
                <w:b/>
                <w:bCs/>
                <w:color w:val="0070C0"/>
              </w:rPr>
              <w:t>Going to the Volcano</w:t>
            </w:r>
          </w:p>
          <w:p>
            <w:pPr>
              <w:pStyle w:val="Normal"/>
              <w:rPr>
                <w:color w:val="0070C0"/>
              </w:rPr>
            </w:pPr>
            <w:r>
              <w:rPr>
                <w:color w:val="0070C0"/>
              </w:rPr>
              <w:t>Andy Stanton</w:t>
              <w:tab/>
            </w:r>
          </w:p>
          <w:p>
            <w:pPr>
              <w:pStyle w:val="Normal"/>
              <w:rPr>
                <w:color w:val="0070C0"/>
              </w:rPr>
            </w:pPr>
            <w:r>
              <w:rPr>
                <w:color w:val="0070C0"/>
              </w:rPr>
            </w:r>
          </w:p>
          <w:p>
            <w:pPr>
              <w:pStyle w:val="Normal"/>
              <w:rPr>
                <w:b/>
                <w:bCs/>
                <w:color w:val="0070C0"/>
              </w:rPr>
            </w:pPr>
            <w:r>
              <w:rPr>
                <w:b/>
                <w:bCs/>
                <w:color w:val="0070C0"/>
              </w:rPr>
              <w:t>My World Your World</w:t>
            </w:r>
          </w:p>
          <w:p>
            <w:pPr>
              <w:pStyle w:val="Normal"/>
              <w:spacing w:before="0" w:after="120"/>
              <w:rPr>
                <w:b/>
                <w:sz w:val="24"/>
              </w:rPr>
            </w:pPr>
            <w:r>
              <w:rPr>
                <w:color w:val="0070C0"/>
              </w:rPr>
              <w:t>Melanie Walsh</w:t>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Normal"/>
              <w:rPr>
                <w:color w:val="0070C0"/>
              </w:rPr>
            </w:pPr>
            <w:r>
              <w:rPr>
                <w:b/>
                <w:bCs/>
                <w:color w:val="0070C0"/>
              </w:rPr>
              <w:t xml:space="preserve">Elmer </w:t>
            </w:r>
          </w:p>
          <w:p>
            <w:pPr>
              <w:pStyle w:val="Normal"/>
              <w:rPr>
                <w:color w:val="0070C0"/>
              </w:rPr>
            </w:pPr>
            <w:r>
              <w:rPr>
                <w:color w:val="0070C0"/>
              </w:rPr>
              <w:t>David Mckee</w:t>
            </w:r>
          </w:p>
          <w:p>
            <w:pPr>
              <w:pStyle w:val="Normal"/>
              <w:spacing w:before="0" w:after="120"/>
              <w:rPr>
                <w:color w:val="0070C0"/>
              </w:rPr>
            </w:pPr>
            <w:r>
              <w:rPr>
                <w:color w:val="0070C0"/>
              </w:rPr>
            </w:r>
          </w:p>
        </w:tc>
        <w:tc>
          <w:tcPr>
            <w:tcW w:w="2606" w:type="dxa"/>
            <w:gridSpan w:val="2"/>
            <w:tcBorders>
              <w:top w:val="single" w:sz="4" w:space="0" w:color="000000"/>
              <w:left w:val="single" w:sz="4" w:space="0" w:color="000000"/>
              <w:bottom w:val="single" w:sz="4" w:space="0" w:color="000000"/>
              <w:right w:val="single" w:sz="4" w:space="0" w:color="000000"/>
            </w:tcBorders>
          </w:tcPr>
          <w:p>
            <w:pPr>
              <w:pStyle w:val="Normal"/>
              <w:rPr>
                <w:b/>
                <w:bCs/>
                <w:color w:val="0070C0"/>
              </w:rPr>
            </w:pPr>
            <w:r>
              <w:rPr>
                <w:b/>
                <w:bCs/>
                <w:color w:val="0070C0"/>
              </w:rPr>
              <w:t>Hair, it’s a Family Affair</w:t>
            </w:r>
          </w:p>
          <w:p>
            <w:pPr>
              <w:pStyle w:val="Normal"/>
              <w:rPr>
                <w:color w:val="0070C0"/>
              </w:rPr>
            </w:pPr>
            <w:r>
              <w:rPr>
                <w:color w:val="0070C0"/>
              </w:rPr>
              <w:t>Mylo Freeman</w:t>
            </w:r>
          </w:p>
          <w:p>
            <w:pPr>
              <w:pStyle w:val="Normal"/>
              <w:spacing w:before="0" w:after="120"/>
              <w:rPr>
                <w:color w:val="0070C0"/>
              </w:rPr>
            </w:pPr>
            <w:r>
              <w:rPr>
                <w:color w:val="0070C0"/>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pPr>
            <w:r>
              <w:rPr/>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b/>
                <w:bCs/>
                <w:color w:val="0070C0"/>
              </w:rPr>
            </w:pPr>
            <w:r>
              <w:rPr>
                <w:b/>
                <w:bCs/>
                <w:color w:val="0070C0"/>
              </w:rPr>
              <w:t>Errol’s Garden</w:t>
            </w:r>
          </w:p>
          <w:p>
            <w:pPr>
              <w:pStyle w:val="Normal"/>
              <w:rPr>
                <w:color w:val="0070C0"/>
              </w:rPr>
            </w:pPr>
            <w:r>
              <w:rPr>
                <w:color w:val="0070C0"/>
              </w:rPr>
              <w:t>Gillian Hibbs</w:t>
            </w:r>
          </w:p>
          <w:p>
            <w:pPr>
              <w:pStyle w:val="Normal"/>
              <w:rPr>
                <w:color w:val="0070C0"/>
              </w:rPr>
            </w:pPr>
            <w:r>
              <w:rPr>
                <w:color w:val="0070C0"/>
              </w:rPr>
            </w:r>
          </w:p>
          <w:p>
            <w:pPr>
              <w:pStyle w:val="Normal"/>
              <w:rPr>
                <w:color w:val="FF0000"/>
              </w:rPr>
            </w:pPr>
            <w:r>
              <w:rPr>
                <w:color w:val="FF0000"/>
              </w:rPr>
              <w:t>Respecting privacy (PANTS rule)</w:t>
            </w:r>
          </w:p>
          <w:p>
            <w:pPr>
              <w:pStyle w:val="3Bulletedcopyblue"/>
              <w:numPr>
                <w:ilvl w:val="0"/>
                <w:numId w:val="0"/>
              </w:numPr>
              <w:spacing w:before="0" w:after="120"/>
              <w:ind w:hanging="0" w:left="0"/>
              <w:rPr>
                <w:color w:val="FF0000"/>
              </w:rPr>
            </w:pPr>
            <w:r>
              <w:rPr>
                <w:color w:val="FF0000"/>
              </w:rPr>
              <w:t>NSPCC Speak Out Stay Safe AOW to continue every Year 1-6 with age appropriate context</w:t>
            </w:r>
          </w:p>
        </w:tc>
      </w:tr>
      <w:tr>
        <w:trPr/>
        <w:tc>
          <w:tcPr>
            <w:tcW w:w="260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8"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39"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c>
          <w:tcPr>
            <w:tcW w:w="260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1728" w:type="dxa"/>
            <w:tcBorders>
              <w:top w:val="single" w:sz="4" w:space="0" w:color="000000"/>
              <w:left w:val="single" w:sz="4" w:space="0" w:color="000000"/>
              <w:bottom w:val="single" w:sz="4" w:space="0" w:color="000000"/>
              <w:right w:val="single" w:sz="4" w:space="0" w:color="000000"/>
            </w:tcBorders>
          </w:tcPr>
          <w:p>
            <w:pPr>
              <w:pStyle w:val="Normal"/>
              <w:spacing w:before="0" w:after="120"/>
              <w:rPr/>
            </w:pPr>
            <w:r>
              <w:rPr>
                <w:b/>
                <w:sz w:val="24"/>
              </w:rPr>
              <w:t>male</w:t>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39"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c>
          <w:tcPr>
            <w:tcW w:w="260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1728"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FF9900"/>
                <w:sz w:val="24"/>
              </w:rPr>
              <w:t>respect</w:t>
            </w:r>
          </w:p>
        </w:tc>
        <w:tc>
          <w:tcPr>
            <w:tcW w:w="2593"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FF9900"/>
                <w:sz w:val="24"/>
              </w:rPr>
              <w:t>strategy</w:t>
            </w:r>
          </w:p>
        </w:tc>
        <w:tc>
          <w:tcPr>
            <w:tcW w:w="173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FF9900"/>
                <w:sz w:val="24"/>
              </w:rPr>
              <w:t>private</w:t>
            </w:r>
          </w:p>
        </w:tc>
        <w:tc>
          <w:tcPr>
            <w:tcW w:w="1739"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9900"/>
                <w:sz w:val="24"/>
              </w:rPr>
            </w:pPr>
            <w:r>
              <w:rPr>
                <w:b/>
                <w:color w:val="FF9900"/>
                <w:sz w:val="24"/>
              </w:rPr>
            </w:r>
          </w:p>
        </w:tc>
        <w:tc>
          <w:tcPr>
            <w:tcW w:w="173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9900"/>
                <w:sz w:val="24"/>
              </w:rPr>
            </w:pPr>
            <w:r>
              <w:rPr>
                <w:b/>
                <w:color w:val="FF9900"/>
                <w:sz w:val="24"/>
              </w:rPr>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9900"/>
                <w:sz w:val="24"/>
              </w:rPr>
            </w:pPr>
            <w:r>
              <w:rPr>
                <w:b/>
                <w:color w:val="FF9900"/>
                <w:sz w:val="24"/>
              </w:rPr>
            </w:r>
          </w:p>
        </w:tc>
        <w:tc>
          <w:tcPr>
            <w:tcW w:w="1740"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9900"/>
                <w:sz w:val="24"/>
              </w:rPr>
            </w:pPr>
            <w:r>
              <w:rPr>
                <w:b/>
                <w:color w:val="FF9900"/>
                <w:sz w:val="24"/>
              </w:rPr>
            </w:r>
          </w:p>
        </w:tc>
      </w:tr>
      <w:tr>
        <w:trPr/>
        <w:tc>
          <w:tcPr>
            <w:tcW w:w="43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bCs/>
                <w:color w:val="0070C0"/>
              </w:rPr>
              <w:t>Blue= No Outsiders</w:t>
            </w:r>
          </w:p>
        </w:tc>
        <w:tc>
          <w:tcPr>
            <w:tcW w:w="4329"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bCs/>
                <w:color w:val="FF0000"/>
              </w:rPr>
              <w:t>Red= Outside providers</w:t>
            </w:r>
          </w:p>
        </w:tc>
        <w:tc>
          <w:tcPr>
            <w:tcW w:w="347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bCs/>
                <w:color w:val="00B050"/>
              </w:rPr>
              <w:t>Green= Science curriculum</w:t>
            </w:r>
          </w:p>
        </w:tc>
        <w:tc>
          <w:tcPr>
            <w:tcW w:w="3474"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bCs/>
                <w:color w:val="7030A0"/>
              </w:rPr>
              <w:t>Purple = other resources</w:t>
            </w:r>
          </w:p>
        </w:tc>
      </w:tr>
    </w:tbl>
    <w:p>
      <w:pPr>
        <w:pStyle w:val="Normal"/>
        <w:rPr>
          <w:rFonts w:ascii="SassoonCRInfant;Corbel" w:hAnsi="SassoonCRInfant;Corbel" w:cs="SassoonCRInfant;Corbel"/>
          <w:b/>
          <w:sz w:val="28"/>
        </w:rPr>
      </w:pPr>
      <w:r>
        <w:rPr>
          <w:rFonts w:cs="SassoonCRInfant;Corbel" w:ascii="SassoonCRInfant;Corbel" w:hAnsi="SassoonCRInfant;Corbel"/>
          <w:b/>
          <w:sz w:val="28"/>
        </w:rPr>
      </w:r>
      <w:r>
        <w:br w:type="page"/>
      </w:r>
    </w:p>
    <w:p>
      <w:pPr>
        <w:pStyle w:val="Normal"/>
        <w:rPr>
          <w:rFonts w:ascii="SassoonCRInfant;Corbel" w:hAnsi="SassoonCRInfant;Corbel" w:cs="SassoonCRInfant;Corbel"/>
          <w:b/>
          <w:sz w:val="28"/>
        </w:rPr>
      </w:pPr>
      <w:r>
        <w:rPr>
          <w:rFonts w:cs="SassoonCRInfant;Corbel" w:ascii="SassoonCRInfant;Corbel" w:hAnsi="SassoonCRInfant;Corbel"/>
          <w:b/>
          <w:sz w:val="28"/>
        </w:rPr>
      </w:r>
    </w:p>
    <w:tbl>
      <w:tblPr>
        <w:tblW w:w="15614" w:type="dxa"/>
        <w:jc w:val="left"/>
        <w:tblInd w:w="0" w:type="dxa"/>
        <w:tblLayout w:type="fixed"/>
        <w:tblCellMar>
          <w:top w:w="0" w:type="dxa"/>
          <w:left w:w="108" w:type="dxa"/>
          <w:bottom w:w="0" w:type="dxa"/>
          <w:right w:w="108" w:type="dxa"/>
        </w:tblCellMar>
      </w:tblPr>
      <w:tblGrid>
        <w:gridCol w:w="2606"/>
        <w:gridCol w:w="1727"/>
        <w:gridCol w:w="28"/>
        <w:gridCol w:w="837"/>
        <w:gridCol w:w="1728"/>
        <w:gridCol w:w="869"/>
        <w:gridCol w:w="195"/>
        <w:gridCol w:w="672"/>
        <w:gridCol w:w="1742"/>
        <w:gridCol w:w="1685"/>
        <w:gridCol w:w="52"/>
        <w:gridCol w:w="867"/>
        <w:gridCol w:w="867"/>
        <w:gridCol w:w="1739"/>
      </w:tblGrid>
      <w:tr>
        <w:trPr/>
        <w:tc>
          <w:tcPr>
            <w:tcW w:w="15614" w:type="dxa"/>
            <w:gridSpan w:val="14"/>
            <w:tcBorders>
              <w:top w:val="single" w:sz="4" w:space="0" w:color="000000"/>
              <w:left w:val="single" w:sz="4" w:space="0" w:color="000000"/>
              <w:bottom w:val="single" w:sz="4" w:space="0" w:color="000000"/>
              <w:right w:val="single" w:sz="4" w:space="0" w:color="000000"/>
            </w:tcBorders>
            <w:shd w:fill="FF0000" w:val="clear"/>
          </w:tcPr>
          <w:p>
            <w:pPr>
              <w:pStyle w:val="Normal"/>
              <w:spacing w:before="0" w:after="120"/>
              <w:jc w:val="center"/>
              <w:rPr>
                <w:rFonts w:cs="Arial"/>
                <w:sz w:val="28"/>
              </w:rPr>
            </w:pPr>
            <w:r>
              <w:rPr>
                <w:rFonts w:cs="Arial"/>
                <w:color w:val="F8F8F8"/>
                <w:sz w:val="28"/>
              </w:rPr>
              <w:t>Year 2</w:t>
            </w:r>
          </w:p>
        </w:tc>
      </w:tr>
      <w:tr>
        <w:trPr/>
        <w:tc>
          <w:tcPr>
            <w:tcW w:w="7795" w:type="dxa"/>
            <w:gridSpan w:val="6"/>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09" w:type="dxa"/>
            <w:gridSpan w:val="3"/>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3"/>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06"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92" w:type="dxa"/>
            <w:gridSpan w:val="3"/>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09" w:type="dxa"/>
            <w:gridSpan w:val="3"/>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3"/>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6"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c>
          <w:tcPr>
            <w:tcW w:w="2606" w:type="dxa"/>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To understand that families, both in school or in the wider world, sometimes look different from their own family, but that they should respect those differences and know that families are also characterised by love and care.</w:t>
            </w:r>
          </w:p>
          <w:p>
            <w:pPr>
              <w:pStyle w:val="3Bulletedcopyblue"/>
              <w:numPr>
                <w:ilvl w:val="0"/>
                <w:numId w:val="0"/>
              </w:numPr>
              <w:spacing w:before="0" w:after="120"/>
              <w:ind w:hanging="0" w:left="0"/>
              <w:rPr/>
            </w:pPr>
            <w:r>
              <w:rPr/>
            </w:r>
          </w:p>
        </w:tc>
        <w:tc>
          <w:tcPr>
            <w:tcW w:w="2592" w:type="dxa"/>
            <w:gridSpan w:val="3"/>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learn that healthy friendships are those that are positive and welcoming towards others, and do not make others feel lonely or excluded. </w:t>
            </w:r>
          </w:p>
          <w:p>
            <w:pPr>
              <w:pStyle w:val="Normal"/>
              <w:spacing w:before="0" w:after="120"/>
              <w:rPr/>
            </w:pPr>
            <w:r>
              <w:rPr/>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understand the conventions of courtesy and manners. </w:t>
            </w:r>
          </w:p>
          <w:p>
            <w:pPr>
              <w:pStyle w:val="3Bulletedcopyblue"/>
              <w:numPr>
                <w:ilvl w:val="0"/>
                <w:numId w:val="0"/>
              </w:numPr>
              <w:ind w:hanging="0" w:left="0"/>
              <w:rPr/>
            </w:pPr>
            <w:r>
              <w:rPr/>
              <w:t>Pupils develop listening, cooperation and communications skills to form and maintain healthy relationships with peers.</w:t>
            </w:r>
          </w:p>
          <w:p>
            <w:pPr>
              <w:pStyle w:val="Normal"/>
              <w:spacing w:before="0" w:after="120"/>
              <w:rPr/>
            </w:pPr>
            <w:r>
              <w:rPr/>
            </w:r>
          </w:p>
        </w:tc>
        <w:tc>
          <w:tcPr>
            <w:tcW w:w="2609" w:type="dxa"/>
            <w:gridSpan w:val="3"/>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can recognise and celebrate their strengths and achievements and set simple but challenging goals.</w:t>
            </w:r>
          </w:p>
          <w:p>
            <w:pPr>
              <w:pStyle w:val="Normal"/>
              <w:rPr>
                <w:rFonts w:cs="Arial"/>
                <w:szCs w:val="20"/>
              </w:rPr>
            </w:pPr>
            <w:r>
              <w:rPr>
                <w:rFonts w:cs="Arial"/>
                <w:szCs w:val="20"/>
              </w:rPr>
            </w:r>
          </w:p>
          <w:p>
            <w:pPr>
              <w:pStyle w:val="Normal"/>
              <w:spacing w:before="0" w:after="120"/>
              <w:rPr/>
            </w:pPr>
            <w:r>
              <w:rPr>
                <w:rFonts w:cs="Arial"/>
                <w:szCs w:val="20"/>
              </w:rPr>
              <w:t>Pupils are able to express how they feel when they lose someone or something.</w:t>
            </w:r>
          </w:p>
        </w:tc>
        <w:tc>
          <w:tcPr>
            <w:tcW w:w="2604" w:type="dxa"/>
            <w:gridSpan w:val="3"/>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can recognise how they grow and that animals including humans have offspring.</w:t>
            </w:r>
          </w:p>
          <w:p>
            <w:pPr>
              <w:pStyle w:val="Normal"/>
              <w:rPr>
                <w:rFonts w:cs="Arial"/>
                <w:szCs w:val="20"/>
              </w:rPr>
            </w:pPr>
            <w:r>
              <w:rPr>
                <w:rFonts w:cs="Arial"/>
                <w:szCs w:val="20"/>
              </w:rPr>
            </w:r>
          </w:p>
          <w:p>
            <w:pPr>
              <w:pStyle w:val="Normal"/>
              <w:rPr>
                <w:rFonts w:cs="Arial"/>
                <w:szCs w:val="20"/>
              </w:rPr>
            </w:pPr>
            <w:r>
              <w:rPr>
                <w:rFonts w:cs="Arial"/>
                <w:szCs w:val="20"/>
              </w:rPr>
              <w:t>Pupils understand that baby mammals need care.</w:t>
            </w:r>
          </w:p>
          <w:p>
            <w:pPr>
              <w:pStyle w:val="Normal"/>
              <w:rPr>
                <w:rFonts w:cs="Arial"/>
                <w:szCs w:val="20"/>
              </w:rPr>
            </w:pPr>
            <w:r>
              <w:rPr>
                <w:rFonts w:cs="Arial"/>
                <w:szCs w:val="20"/>
              </w:rPr>
            </w:r>
          </w:p>
          <w:p>
            <w:pPr>
              <w:pStyle w:val="Normal"/>
              <w:rPr>
                <w:rFonts w:cs="Arial"/>
                <w:szCs w:val="20"/>
              </w:rPr>
            </w:pPr>
            <w:r>
              <w:rPr>
                <w:rFonts w:cs="Arial"/>
                <w:szCs w:val="20"/>
              </w:rPr>
              <w:t xml:space="preserve">Pupils learn the </w:t>
            </w:r>
          </w:p>
          <w:p>
            <w:pPr>
              <w:pStyle w:val="Normal"/>
              <w:spacing w:before="0" w:after="120"/>
              <w:rPr>
                <w:rFonts w:cs="Arial"/>
                <w:szCs w:val="20"/>
              </w:rPr>
            </w:pPr>
            <w:r>
              <w:rPr>
                <w:rFonts w:cs="Arial"/>
                <w:szCs w:val="20"/>
              </w:rPr>
              <w:t>importance of exercise for healthy bodies.</w:t>
            </w:r>
          </w:p>
        </w:tc>
        <w:tc>
          <w:tcPr>
            <w:tcW w:w="2606"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recognise how to respond safely and appropriately to adults they may encounter</w:t>
            </w:r>
          </w:p>
          <w:p>
            <w:pPr>
              <w:pStyle w:val="Normal"/>
              <w:spacing w:before="0" w:after="120"/>
              <w:rPr>
                <w:rFonts w:cs="Arial"/>
                <w:szCs w:val="20"/>
              </w:rPr>
            </w:pPr>
            <w:r>
              <w:rPr>
                <w:rFonts w:cs="Arial"/>
                <w:szCs w:val="20"/>
              </w:rPr>
            </w:r>
          </w:p>
        </w:tc>
      </w:tr>
      <w:tr>
        <w:trPr/>
        <w:tc>
          <w:tcPr>
            <w:tcW w:w="2606" w:type="dxa"/>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What the Jackdaw Saw</w:t>
            </w:r>
          </w:p>
          <w:p>
            <w:pPr>
              <w:pStyle w:val="Normal"/>
              <w:rPr>
                <w:color w:val="0070C0"/>
              </w:rPr>
            </w:pPr>
            <w:r>
              <w:rPr>
                <w:color w:val="0070C0"/>
              </w:rPr>
              <w:t>Julia Donaldson and Nick Sharratt</w:t>
            </w:r>
          </w:p>
          <w:p>
            <w:pPr>
              <w:pStyle w:val="Normal"/>
              <w:rPr>
                <w:color w:val="0070C0"/>
              </w:rPr>
            </w:pPr>
            <w:r>
              <w:rPr>
                <w:color w:val="0070C0"/>
              </w:rPr>
            </w:r>
          </w:p>
          <w:p>
            <w:pPr>
              <w:pStyle w:val="Normal"/>
              <w:rPr>
                <w:b/>
                <w:color w:val="0070C0"/>
              </w:rPr>
            </w:pPr>
            <w:r>
              <w:rPr>
                <w:b/>
                <w:color w:val="0070C0"/>
              </w:rPr>
              <w:t xml:space="preserve">Amazing </w:t>
            </w:r>
          </w:p>
          <w:p>
            <w:pPr>
              <w:pStyle w:val="Normal"/>
              <w:rPr>
                <w:color w:val="0070C0"/>
              </w:rPr>
            </w:pPr>
            <w:r>
              <w:rPr>
                <w:color w:val="0070C0"/>
              </w:rPr>
              <w:t>Steve Antony</w:t>
            </w:r>
          </w:p>
          <w:p>
            <w:pPr>
              <w:pStyle w:val="Normal"/>
              <w:rPr>
                <w:color w:val="0070C0"/>
              </w:rPr>
            </w:pPr>
            <w:r>
              <w:rPr>
                <w:color w:val="0070C0"/>
              </w:rPr>
            </w:r>
          </w:p>
          <w:p>
            <w:pPr>
              <w:pStyle w:val="Normal"/>
              <w:rPr>
                <w:b/>
                <w:color w:val="0070C0"/>
              </w:rPr>
            </w:pPr>
            <w:r>
              <w:rPr>
                <w:b/>
                <w:color w:val="0070C0"/>
              </w:rPr>
              <w:t>The Great Big Book of Families</w:t>
            </w:r>
          </w:p>
          <w:p>
            <w:pPr>
              <w:pStyle w:val="Normal"/>
              <w:rPr>
                <w:color w:val="0070C0"/>
              </w:rPr>
            </w:pPr>
            <w:r>
              <w:rPr>
                <w:color w:val="0070C0"/>
              </w:rPr>
              <w:t>Mary Hoffman and Ros Asquith</w:t>
            </w:r>
          </w:p>
          <w:p>
            <w:pPr>
              <w:pStyle w:val="Normal"/>
              <w:spacing w:before="0" w:after="120"/>
              <w:rPr>
                <w:b/>
                <w:color w:val="0070C0"/>
                <w:sz w:val="24"/>
              </w:rPr>
            </w:pPr>
            <w:r>
              <w:rPr>
                <w:b/>
                <w:color w:val="0070C0"/>
                <w:sz w:val="24"/>
              </w:rPr>
            </w:r>
          </w:p>
        </w:tc>
        <w:tc>
          <w:tcPr>
            <w:tcW w:w="2592" w:type="dxa"/>
            <w:gridSpan w:val="3"/>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2597"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pPr>
            <w:r>
              <w:rPr/>
            </w:r>
          </w:p>
        </w:tc>
        <w:tc>
          <w:tcPr>
            <w:tcW w:w="2609" w:type="dxa"/>
            <w:gridSpan w:val="3"/>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 xml:space="preserve">How to be a Lion </w:t>
            </w:r>
          </w:p>
          <w:p>
            <w:pPr>
              <w:pStyle w:val="Normal"/>
              <w:rPr>
                <w:color w:val="0070C0"/>
              </w:rPr>
            </w:pPr>
            <w:r>
              <w:rPr>
                <w:color w:val="0070C0"/>
              </w:rPr>
              <w:t>Ed Vere</w:t>
            </w:r>
          </w:p>
          <w:p>
            <w:pPr>
              <w:pStyle w:val="Normal"/>
              <w:rPr>
                <w:color w:val="0070C0"/>
              </w:rPr>
            </w:pPr>
            <w:r>
              <w:rPr>
                <w:color w:val="0070C0"/>
              </w:rPr>
            </w:r>
          </w:p>
          <w:p>
            <w:pPr>
              <w:pStyle w:val="Normal"/>
              <w:rPr/>
            </w:pPr>
            <w:r>
              <w:rPr>
                <w:b/>
                <w:color w:val="0070C0"/>
              </w:rPr>
              <w:t>All are Welcome</w:t>
            </w:r>
          </w:p>
          <w:p>
            <w:pPr>
              <w:pStyle w:val="Normal"/>
              <w:rPr>
                <w:color w:val="0070C0"/>
              </w:rPr>
            </w:pPr>
            <w:r>
              <w:rPr>
                <w:color w:val="0070C0"/>
              </w:rPr>
              <w:t>Alexander Penfold and Suzanne</w:t>
            </w:r>
          </w:p>
          <w:p>
            <w:pPr>
              <w:pStyle w:val="Normal"/>
              <w:rPr>
                <w:color w:val="0070C0"/>
              </w:rPr>
            </w:pPr>
            <w:r>
              <w:rPr>
                <w:color w:val="0070C0"/>
              </w:rPr>
            </w:r>
          </w:p>
          <w:p>
            <w:pPr>
              <w:pStyle w:val="Normal"/>
              <w:spacing w:before="0" w:after="120"/>
              <w:rPr>
                <w:rFonts w:cs="Arial"/>
                <w:color w:val="FF0000"/>
                <w:szCs w:val="20"/>
              </w:rPr>
            </w:pPr>
            <w:r>
              <w:rPr>
                <w:rFonts w:cs="Arial"/>
                <w:color w:val="FF0000"/>
                <w:szCs w:val="20"/>
              </w:rPr>
              <w:t>Pupils understand the changing emotional needs of humans at different stages in their lives</w:t>
            </w:r>
          </w:p>
        </w:tc>
        <w:tc>
          <w:tcPr>
            <w:tcW w:w="2604" w:type="dxa"/>
            <w:gridSpan w:val="3"/>
            <w:tcBorders>
              <w:top w:val="single" w:sz="4" w:space="0" w:color="000000"/>
              <w:left w:val="single" w:sz="4" w:space="0" w:color="000000"/>
              <w:bottom w:val="single" w:sz="4" w:space="0" w:color="000000"/>
              <w:right w:val="single" w:sz="4" w:space="0" w:color="000000"/>
            </w:tcBorders>
          </w:tcPr>
          <w:p>
            <w:pPr>
              <w:pStyle w:val="Normal"/>
              <w:rPr>
                <w:rFonts w:cs="Arial"/>
                <w:color w:val="00B050"/>
                <w:szCs w:val="20"/>
              </w:rPr>
            </w:pPr>
            <w:r>
              <w:rPr>
                <w:rFonts w:cs="Arial"/>
                <w:color w:val="00B050"/>
                <w:szCs w:val="20"/>
              </w:rPr>
              <w:t xml:space="preserve">Pupils learn about the process of growing young to old </w:t>
            </w:r>
          </w:p>
          <w:p>
            <w:pPr>
              <w:pStyle w:val="Normal"/>
              <w:spacing w:before="0" w:after="120"/>
              <w:rPr>
                <w:rFonts w:cs="Arial"/>
                <w:color w:val="00B050"/>
                <w:szCs w:val="20"/>
              </w:rPr>
            </w:pPr>
            <w:r>
              <w:rPr>
                <w:rFonts w:cs="Arial"/>
                <w:color w:val="00B050"/>
                <w:szCs w:val="20"/>
              </w:rPr>
              <w:t>Life cycles of animals and humans</w:t>
            </w:r>
          </w:p>
        </w:tc>
        <w:tc>
          <w:tcPr>
            <w:tcW w:w="2606"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Can I Join Your Club</w:t>
            </w:r>
          </w:p>
          <w:p>
            <w:pPr>
              <w:pStyle w:val="Normal"/>
              <w:rPr>
                <w:color w:val="0070C0"/>
              </w:rPr>
            </w:pPr>
            <w:r>
              <w:rPr>
                <w:color w:val="0070C0"/>
              </w:rPr>
              <w:t>John Kelly and Steph Laberis</w:t>
            </w:r>
          </w:p>
          <w:p>
            <w:pPr>
              <w:pStyle w:val="Normal"/>
              <w:rPr>
                <w:color w:val="0070C0"/>
              </w:rPr>
            </w:pPr>
            <w:r>
              <w:rPr>
                <w:color w:val="0070C0"/>
              </w:rPr>
            </w:r>
          </w:p>
          <w:p>
            <w:pPr>
              <w:pStyle w:val="Normal"/>
              <w:rPr>
                <w:rFonts w:cs="Arial"/>
                <w:color w:val="FF0000"/>
                <w:szCs w:val="20"/>
              </w:rPr>
            </w:pPr>
            <w:r>
              <w:rPr>
                <w:rFonts w:cs="Arial"/>
                <w:color w:val="FF0000"/>
                <w:szCs w:val="20"/>
              </w:rPr>
              <w:t>NSPCC Speak Out Stay Safe AOW to continue every Year 1-6 with age appropriate context</w:t>
            </w:r>
          </w:p>
          <w:p>
            <w:pPr>
              <w:pStyle w:val="Normal"/>
              <w:spacing w:before="0" w:after="120"/>
              <w:rPr>
                <w:rFonts w:cs="Arial"/>
                <w:color w:val="FF0000"/>
                <w:szCs w:val="20"/>
              </w:rPr>
            </w:pPr>
            <w:r>
              <w:rPr>
                <w:rFonts w:cs="Arial"/>
                <w:color w:val="FF0000"/>
                <w:szCs w:val="20"/>
              </w:rPr>
            </w:r>
          </w:p>
        </w:tc>
      </w:tr>
      <w:tr>
        <w:trPr/>
        <w:tc>
          <w:tcPr>
            <w:tcW w:w="2606"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9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6"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39"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c>
          <w:tcPr>
            <w:tcW w:w="2606"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male</w:t>
            </w:r>
          </w:p>
        </w:tc>
        <w:tc>
          <w:tcPr>
            <w:tcW w:w="259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6"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39"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rHeight w:val="423" w:hRule="atLeast"/>
        </w:trPr>
        <w:tc>
          <w:tcPr>
            <w:tcW w:w="2606"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respect</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strategy</w:t>
            </w:r>
          </w:p>
        </w:tc>
        <w:tc>
          <w:tcPr>
            <w:tcW w:w="259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private</w:t>
            </w:r>
          </w:p>
        </w:tc>
        <w:tc>
          <w:tcPr>
            <w:tcW w:w="1736"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FF0000"/>
                <w:sz w:val="24"/>
              </w:rPr>
              <w:t>courtesy</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pPr>
            <w:r>
              <w:rPr>
                <w:b/>
                <w:color w:val="FF0000"/>
                <w:sz w:val="24"/>
              </w:rPr>
              <w:t>excluded</w:t>
            </w:r>
          </w:p>
        </w:tc>
        <w:tc>
          <w:tcPr>
            <w:tcW w:w="1737"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FF0000"/>
                <w:sz w:val="24"/>
              </w:rPr>
              <w:t>offspring</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0000"/>
                <w:sz w:val="24"/>
              </w:rPr>
            </w:pPr>
            <w:r>
              <w:rPr>
                <w:b/>
                <w:color w:val="FF0000"/>
                <w:sz w:val="24"/>
              </w:rPr>
            </w:r>
          </w:p>
        </w:tc>
        <w:tc>
          <w:tcPr>
            <w:tcW w:w="1739"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r>
      <w:tr>
        <w:trPr>
          <w:trHeight w:val="267" w:hRule="atLeast"/>
        </w:trPr>
        <w:tc>
          <w:tcPr>
            <w:tcW w:w="4361"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bCs/>
                <w:color w:val="0070C0"/>
              </w:rPr>
              <w:t>Blue= No Outsiders</w:t>
            </w:r>
          </w:p>
        </w:tc>
        <w:tc>
          <w:tcPr>
            <w:tcW w:w="3629"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bCs/>
                <w:color w:val="FF0000"/>
              </w:rPr>
            </w:pPr>
            <w:r>
              <w:rPr>
                <w:b/>
                <w:bCs/>
                <w:color w:val="FF0000"/>
              </w:rPr>
              <w:t>Red= Outside providers</w:t>
            </w:r>
          </w:p>
        </w:tc>
        <w:tc>
          <w:tcPr>
            <w:tcW w:w="4099"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bCs/>
                <w:color w:val="00B050"/>
              </w:rPr>
            </w:pPr>
            <w:r>
              <w:rPr>
                <w:b/>
                <w:bCs/>
                <w:color w:val="00B050"/>
              </w:rPr>
              <w:t>Green= Science curriculum</w:t>
            </w:r>
          </w:p>
        </w:tc>
        <w:tc>
          <w:tcPr>
            <w:tcW w:w="3525"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bCs/>
                <w:color w:val="7030A0"/>
              </w:rPr>
            </w:pPr>
            <w:r>
              <w:rPr>
                <w:b/>
                <w:bCs/>
                <w:color w:val="7030A0"/>
              </w:rPr>
              <w:t>Purple = other resources</w:t>
            </w:r>
          </w:p>
        </w:tc>
      </w:tr>
    </w:tbl>
    <w:p>
      <w:pPr>
        <w:pStyle w:val="Normal"/>
        <w:rPr/>
      </w:pPr>
      <w:r>
        <w:br w:type="page"/>
      </w:r>
      <w:r>
        <w:rPr/>
      </w:r>
    </w:p>
    <w:tbl>
      <w:tblPr>
        <w:tblW w:w="15614" w:type="dxa"/>
        <w:jc w:val="left"/>
        <w:tblInd w:w="0" w:type="dxa"/>
        <w:tblLayout w:type="fixed"/>
        <w:tblCellMar>
          <w:top w:w="0" w:type="dxa"/>
          <w:left w:w="108" w:type="dxa"/>
          <w:bottom w:w="0" w:type="dxa"/>
          <w:right w:w="108" w:type="dxa"/>
        </w:tblCellMar>
      </w:tblPr>
      <w:tblGrid>
        <w:gridCol w:w="2604"/>
        <w:gridCol w:w="1727"/>
        <w:gridCol w:w="863"/>
        <w:gridCol w:w="1732"/>
        <w:gridCol w:w="864"/>
        <w:gridCol w:w="871"/>
        <w:gridCol w:w="1742"/>
        <w:gridCol w:w="1737"/>
        <w:gridCol w:w="867"/>
        <w:gridCol w:w="867"/>
        <w:gridCol w:w="1740"/>
      </w:tblGrid>
      <w:tr>
        <w:trPr/>
        <w:tc>
          <w:tcPr>
            <w:tcW w:w="15614" w:type="dxa"/>
            <w:gridSpan w:val="11"/>
            <w:tcBorders>
              <w:top w:val="single" w:sz="4" w:space="0" w:color="000000"/>
              <w:left w:val="single" w:sz="4" w:space="0" w:color="000000"/>
              <w:bottom w:val="single" w:sz="4" w:space="0" w:color="000000"/>
              <w:right w:val="single" w:sz="4" w:space="0" w:color="000000"/>
            </w:tcBorders>
            <w:shd w:fill="AEAAAA" w:val="clear"/>
          </w:tcPr>
          <w:p>
            <w:pPr>
              <w:pStyle w:val="Normal"/>
              <w:spacing w:before="0" w:after="120"/>
              <w:jc w:val="center"/>
              <w:rPr>
                <w:rFonts w:cs="Arial"/>
                <w:color w:val="F8F8F8"/>
                <w:sz w:val="28"/>
              </w:rPr>
            </w:pPr>
            <w:r>
              <w:rPr>
                <w:rFonts w:cs="Arial"/>
                <w:color w:val="F8F8F8"/>
                <w:sz w:val="28"/>
              </w:rPr>
              <w:t>Year 3</w:t>
            </w:r>
          </w:p>
        </w:tc>
      </w:tr>
      <w:tr>
        <w:trPr/>
        <w:tc>
          <w:tcPr>
            <w:tcW w:w="7790"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13"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7"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13"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7"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rHeight w:val="3421" w:hRule="atLeast"/>
        </w:trPr>
        <w:tc>
          <w:tcPr>
            <w:tcW w:w="2604" w:type="dxa"/>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understand that stable, caring relationships, which may be of different types, are at the heart of happy families, and are important for children’s security as they grow up. </w:t>
            </w:r>
          </w:p>
          <w:p>
            <w:pPr>
              <w:pStyle w:val="3Bulletedcopyblue"/>
              <w:numPr>
                <w:ilvl w:val="0"/>
                <w:numId w:val="0"/>
              </w:numPr>
              <w:ind w:hanging="0" w:left="0"/>
              <w:rPr/>
            </w:pPr>
            <w:r>
              <w:rPr/>
            </w:r>
          </w:p>
          <w:p>
            <w:pPr>
              <w:pStyle w:val="3Bulletedcopyblue"/>
              <w:numPr>
                <w:ilvl w:val="0"/>
                <w:numId w:val="0"/>
              </w:numPr>
              <w:ind w:hanging="0" w:left="360" w:right="0"/>
              <w:rPr/>
            </w:pPr>
            <w:r>
              <w:rPr/>
            </w:r>
          </w:p>
          <w:p>
            <w:pPr>
              <w:pStyle w:val="Normal"/>
              <w:rPr>
                <w:b/>
                <w:sz w:val="24"/>
              </w:rPr>
            </w:pPr>
            <w:r>
              <w:rPr>
                <w:b/>
                <w:sz w:val="24"/>
              </w:rPr>
            </w:r>
          </w:p>
          <w:p>
            <w:pPr>
              <w:pStyle w:val="Normal"/>
              <w:spacing w:before="0" w:after="120"/>
              <w:rPr>
                <w:b/>
                <w:sz w:val="24"/>
              </w:rPr>
            </w:pPr>
            <w:r>
              <w:rPr>
                <w:b/>
                <w:sz w:val="24"/>
              </w:rPr>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explore the characteristics of friendships, including mutual respect, truthfulness, trustworthiness, loyalty, kindness, generosity, trust, sharing interests and experiences and support with problems and difficulties. </w:t>
            </w:r>
          </w:p>
          <w:p>
            <w:pPr>
              <w:pStyle w:val="3Bulletedcopyblue"/>
              <w:numPr>
                <w:ilvl w:val="0"/>
                <w:numId w:val="0"/>
              </w:numPr>
              <w:spacing w:before="0" w:after="120"/>
              <w:ind w:hanging="0" w:left="0"/>
              <w:rPr/>
            </w:pPr>
            <w:r>
              <w:rPr/>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Pupils learn that in school and in wider society they can expect to be treated with respect by others, and that in turn they should show due respect to others, including those in positions of authority.</w:t>
            </w:r>
          </w:p>
          <w:p>
            <w:pPr>
              <w:pStyle w:val="3Bulletedcopyblue"/>
              <w:numPr>
                <w:ilvl w:val="0"/>
                <w:numId w:val="0"/>
              </w:numPr>
              <w:spacing w:before="0" w:after="120"/>
              <w:ind w:hanging="0" w:left="0"/>
              <w:rPr/>
            </w:pPr>
            <w:r>
              <w:rPr>
                <w:b/>
              </w:rPr>
              <w:t>ONLINE</w:t>
            </w:r>
            <w:r>
              <w:rPr/>
              <w:t xml:space="preserve">: Pupils learn the rules and principles for keeping safe online, how to recognise risks, harmful content and contact, and how to report them. </w:t>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can identify their personal strengths and set aspirational goals for themselves, understanding how this contributes to and builds self-esteem.</w:t>
            </w:r>
          </w:p>
          <w:p>
            <w:pPr>
              <w:pStyle w:val="Normal"/>
              <w:rPr>
                <w:rFonts w:cs="Arial"/>
                <w:b/>
                <w:sz w:val="24"/>
                <w:szCs w:val="20"/>
              </w:rPr>
            </w:pPr>
            <w:r>
              <w:rPr>
                <w:rFonts w:cs="Arial"/>
                <w:b/>
                <w:sz w:val="24"/>
                <w:szCs w:val="20"/>
              </w:rPr>
            </w:r>
          </w:p>
          <w:p>
            <w:pPr>
              <w:pStyle w:val="Normal"/>
              <w:rPr>
                <w:rFonts w:cs="Arial"/>
                <w:szCs w:val="20"/>
              </w:rPr>
            </w:pPr>
            <w:r>
              <w:rPr>
                <w:rFonts w:cs="Arial"/>
                <w:szCs w:val="20"/>
              </w:rPr>
              <w:t>Pupils understand how to deal with feelings and pressure.</w:t>
            </w:r>
          </w:p>
          <w:p>
            <w:pPr>
              <w:pStyle w:val="Normal"/>
              <w:spacing w:before="0" w:after="120"/>
              <w:rPr>
                <w:rFonts w:cs="Arial"/>
                <w:b/>
                <w:sz w:val="24"/>
                <w:szCs w:val="20"/>
              </w:rPr>
            </w:pPr>
            <w:r>
              <w:rPr>
                <w:rFonts w:cs="Arial"/>
                <w:b/>
                <w:sz w:val="24"/>
                <w:szCs w:val="20"/>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know how their body may change as they grow and develop, how to care for their body and celebrate their uniqueness.</w:t>
            </w:r>
          </w:p>
          <w:p>
            <w:pPr>
              <w:pStyle w:val="Normal"/>
              <w:spacing w:before="0" w:after="120"/>
              <w:rPr>
                <w:rFonts w:cs="Arial"/>
                <w:color w:val="FF0000"/>
                <w:szCs w:val="20"/>
              </w:rPr>
            </w:pPr>
            <w:r>
              <w:rPr>
                <w:rFonts w:cs="Arial"/>
                <w:color w:val="FF0000"/>
                <w:szCs w:val="20"/>
              </w:rPr>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learn how to recognise and report feelings of being unsafe or feeling bad about any adult. </w:t>
            </w:r>
          </w:p>
          <w:p>
            <w:pPr>
              <w:pStyle w:val="3Bulletedcopyblue"/>
              <w:numPr>
                <w:ilvl w:val="0"/>
                <w:numId w:val="0"/>
              </w:numPr>
              <w:spacing w:before="0" w:after="120"/>
              <w:ind w:hanging="0" w:left="0"/>
              <w:rPr/>
            </w:pPr>
            <w:r>
              <w:rPr/>
              <w:t>Pupils explore different types of bullying, the impact of bullying, responsibilities of bystanders (primarily reporting bullying to an adult) and how to get help.</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Beegu</w:t>
            </w:r>
          </w:p>
          <w:p>
            <w:pPr>
              <w:pStyle w:val="Normal"/>
              <w:rPr>
                <w:color w:val="0070C0"/>
              </w:rPr>
            </w:pPr>
            <w:r>
              <w:rPr>
                <w:color w:val="0070C0"/>
              </w:rPr>
              <w:t>Alexis Deacon</w:t>
            </w:r>
          </w:p>
          <w:p>
            <w:pPr>
              <w:pStyle w:val="Normal"/>
              <w:spacing w:before="0" w:after="120"/>
              <w:rPr>
                <w:b/>
                <w:color w:val="0070C0"/>
                <w:sz w:val="24"/>
              </w:rPr>
            </w:pPr>
            <w:r>
              <w:rPr>
                <w:b/>
                <w:color w:val="0070C0"/>
                <w:sz w:val="24"/>
              </w:rPr>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pPr>
            <w:r>
              <w:rPr/>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The Hueys in the New Jumper</w:t>
            </w:r>
          </w:p>
          <w:p>
            <w:pPr>
              <w:pStyle w:val="Normal"/>
              <w:rPr>
                <w:color w:val="0070C0"/>
              </w:rPr>
            </w:pPr>
            <w:r>
              <w:rPr>
                <w:color w:val="0070C0"/>
              </w:rPr>
              <w:t>Oliver Jeffers</w:t>
            </w:r>
          </w:p>
          <w:p>
            <w:pPr>
              <w:pStyle w:val="Normal"/>
              <w:rPr>
                <w:color w:val="0070C0"/>
              </w:rPr>
            </w:pPr>
            <w:r>
              <w:rPr>
                <w:color w:val="0070C0"/>
              </w:rPr>
            </w:r>
          </w:p>
          <w:p>
            <w:pPr>
              <w:pStyle w:val="Normal"/>
              <w:spacing w:before="0" w:after="120"/>
              <w:rPr/>
            </w:pPr>
            <w:r>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color w:val="00B050"/>
              </w:rPr>
            </w:pPr>
            <w:r>
              <w:rPr>
                <w:color w:val="00B050"/>
              </w:rPr>
              <w:t>Balanced diet</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This is our House</w:t>
            </w:r>
          </w:p>
          <w:p>
            <w:pPr>
              <w:pStyle w:val="Normal"/>
              <w:rPr>
                <w:color w:val="0070C0"/>
              </w:rPr>
            </w:pPr>
            <w:r>
              <w:rPr>
                <w:color w:val="0070C0"/>
              </w:rPr>
              <w:t>Michael Rosen</w:t>
            </w:r>
          </w:p>
          <w:p>
            <w:pPr>
              <w:pStyle w:val="3Bulletedcopyblue"/>
              <w:numPr>
                <w:ilvl w:val="0"/>
                <w:numId w:val="0"/>
              </w:numPr>
              <w:ind w:hanging="170" w:left="340" w:right="0"/>
              <w:rPr>
                <w:color w:val="0070C0"/>
              </w:rPr>
            </w:pPr>
            <w:r>
              <w:rPr>
                <w:color w:val="0070C0"/>
              </w:rPr>
            </w:r>
          </w:p>
          <w:p>
            <w:pPr>
              <w:pStyle w:val="Normal"/>
              <w:rPr>
                <w:b/>
                <w:color w:val="0070C0"/>
              </w:rPr>
            </w:pPr>
            <w:r>
              <w:rPr>
                <w:b/>
                <w:color w:val="0070C0"/>
              </w:rPr>
              <w:t>We are all Wonders</w:t>
            </w:r>
          </w:p>
          <w:p>
            <w:pPr>
              <w:pStyle w:val="Normal"/>
              <w:rPr>
                <w:color w:val="0070C0"/>
              </w:rPr>
            </w:pPr>
            <w:r>
              <w:rPr>
                <w:color w:val="0070C0"/>
              </w:rPr>
              <w:t>RJ Palacio</w:t>
            </w:r>
          </w:p>
          <w:p>
            <w:pPr>
              <w:pStyle w:val="3Bulletedcopyblue"/>
              <w:numPr>
                <w:ilvl w:val="0"/>
                <w:numId w:val="0"/>
              </w:numPr>
              <w:ind w:hanging="0" w:left="0"/>
              <w:rPr>
                <w:color w:val="0070C0"/>
              </w:rPr>
            </w:pPr>
            <w:r>
              <w:rPr>
                <w:color w:val="0070C0"/>
              </w:rPr>
            </w:r>
          </w:p>
          <w:p>
            <w:pPr>
              <w:pStyle w:val="Normal"/>
              <w:rPr>
                <w:b/>
                <w:color w:val="0070C0"/>
              </w:rPr>
            </w:pPr>
            <w:r>
              <w:rPr>
                <w:b/>
                <w:color w:val="0070C0"/>
              </w:rPr>
              <w:t>PLANET Omar: Accidental Trouble Magnet</w:t>
            </w:r>
          </w:p>
          <w:p>
            <w:pPr>
              <w:pStyle w:val="Normal"/>
              <w:rPr>
                <w:color w:val="0070C0"/>
              </w:rPr>
            </w:pPr>
            <w:r>
              <w:rPr>
                <w:color w:val="0070C0"/>
              </w:rPr>
              <w:t>Zanib Mian</w:t>
            </w:r>
          </w:p>
          <w:p>
            <w:pPr>
              <w:pStyle w:val="Normal"/>
              <w:rPr>
                <w:color w:val="0070C0"/>
              </w:rPr>
            </w:pPr>
            <w:r>
              <w:rPr>
                <w:color w:val="0070C0"/>
              </w:rPr>
            </w:r>
          </w:p>
          <w:p>
            <w:pPr>
              <w:pStyle w:val="Normal"/>
              <w:spacing w:before="0" w:after="120"/>
              <w:rPr>
                <w:color w:val="FF0000"/>
              </w:rPr>
            </w:pPr>
            <w:r>
              <w:rPr>
                <w:color w:val="FF0000"/>
              </w:rPr>
              <w:t>NSPCC Speak Out Stay Safe AOW to continue every Year 1-6 with age appropriate context</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rHeight w:val="390" w:hRule="atLeast"/>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private</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male</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rHeight w:val="390" w:hRule="atLeast"/>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respect</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strategy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courtesy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excluded</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offspring</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808080"/>
                <w:sz w:val="24"/>
              </w:rPr>
              <w:t>security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808080"/>
                <w:sz w:val="24"/>
              </w:rPr>
              <w:t>bystander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808080"/>
                <w:sz w:val="24"/>
              </w:rPr>
              <w:t>bully</w:t>
            </w:r>
          </w:p>
        </w:tc>
      </w:tr>
      <w:tr>
        <w:trPr>
          <w:trHeight w:val="475" w:hRule="atLeast"/>
        </w:trPr>
        <w:tc>
          <w:tcPr>
            <w:tcW w:w="4331"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bCs/>
                <w:color w:val="0070C0"/>
              </w:rPr>
              <w:t>Blue= No Outsiders</w:t>
            </w:r>
          </w:p>
        </w:tc>
        <w:tc>
          <w:tcPr>
            <w:tcW w:w="4330"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bCs/>
                <w:color w:val="FF0000"/>
              </w:rPr>
              <w:t>Red= Outside providers</w:t>
            </w:r>
          </w:p>
        </w:tc>
        <w:tc>
          <w:tcPr>
            <w:tcW w:w="347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bCs/>
                <w:color w:val="00B050"/>
              </w:rPr>
              <w:t>Green= Science curriculum</w:t>
            </w:r>
          </w:p>
        </w:tc>
        <w:tc>
          <w:tcPr>
            <w:tcW w:w="3474"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bCs/>
                <w:color w:val="7030A0"/>
              </w:rPr>
              <w:t>Purple = other resources</w:t>
            </w:r>
          </w:p>
        </w:tc>
      </w:tr>
    </w:tbl>
    <w:p>
      <w:pPr>
        <w:pStyle w:val="Normal"/>
        <w:rPr/>
      </w:pPr>
      <w:r>
        <w:br w:type="page"/>
      </w:r>
      <w:r>
        <w:rPr/>
      </w:r>
    </w:p>
    <w:tbl>
      <w:tblPr>
        <w:tblW w:w="15614" w:type="dxa"/>
        <w:jc w:val="left"/>
        <w:tblInd w:w="0" w:type="dxa"/>
        <w:tblLayout w:type="fixed"/>
        <w:tblCellMar>
          <w:top w:w="0" w:type="dxa"/>
          <w:left w:w="108" w:type="dxa"/>
          <w:bottom w:w="0" w:type="dxa"/>
          <w:right w:w="108" w:type="dxa"/>
        </w:tblCellMar>
      </w:tblPr>
      <w:tblGrid>
        <w:gridCol w:w="2604"/>
        <w:gridCol w:w="1727"/>
        <w:gridCol w:w="863"/>
        <w:gridCol w:w="1732"/>
        <w:gridCol w:w="864"/>
        <w:gridCol w:w="871"/>
        <w:gridCol w:w="1742"/>
        <w:gridCol w:w="1737"/>
        <w:gridCol w:w="867"/>
        <w:gridCol w:w="867"/>
        <w:gridCol w:w="1740"/>
      </w:tblGrid>
      <w:tr>
        <w:trPr/>
        <w:tc>
          <w:tcPr>
            <w:tcW w:w="15614" w:type="dxa"/>
            <w:gridSpan w:val="11"/>
            <w:tcBorders>
              <w:top w:val="single" w:sz="4" w:space="0" w:color="000000"/>
              <w:left w:val="single" w:sz="4" w:space="0" w:color="000000"/>
              <w:bottom w:val="single" w:sz="4" w:space="0" w:color="000000"/>
              <w:right w:val="single" w:sz="4" w:space="0" w:color="000000"/>
            </w:tcBorders>
            <w:shd w:fill="002060" w:val="clear"/>
          </w:tcPr>
          <w:p>
            <w:pPr>
              <w:pStyle w:val="Normal"/>
              <w:spacing w:before="0" w:after="120"/>
              <w:jc w:val="center"/>
              <w:rPr>
                <w:rFonts w:cs="Arial"/>
                <w:sz w:val="28"/>
              </w:rPr>
            </w:pPr>
            <w:r>
              <w:rPr>
                <w:rFonts w:cs="Arial"/>
                <w:color w:val="F8F8F8"/>
                <w:sz w:val="28"/>
              </w:rPr>
              <w:t>Year 4</w:t>
            </w:r>
          </w:p>
        </w:tc>
      </w:tr>
      <w:tr>
        <w:trPr/>
        <w:tc>
          <w:tcPr>
            <w:tcW w:w="7790"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13"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7"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13"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7"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rHeight w:val="4271" w:hRule="atLeast"/>
        </w:trPr>
        <w:tc>
          <w:tcPr>
            <w:tcW w:w="2604" w:type="dxa"/>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explore the characteristics of healthy family life: commitment to each other, including in times of difficulty; protection and care for children and other family members; the importance of spending time together and sharing each other’s lives. </w:t>
            </w:r>
          </w:p>
          <w:p>
            <w:pPr>
              <w:pStyle w:val="3Bulletedcopyblue"/>
              <w:numPr>
                <w:ilvl w:val="0"/>
                <w:numId w:val="0"/>
              </w:numPr>
              <w:spacing w:before="0" w:after="120"/>
              <w:ind w:hanging="0" w:left="0"/>
              <w:rPr/>
            </w:pPr>
            <w:r>
              <w:rPr/>
              <w:t xml:space="preserve">Pupils understand that marriage and civil partnerships represent a formal and legally recognised commitment of two people to each other which is intended to be lifelong. </w:t>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spacing w:before="0" w:after="120"/>
              <w:ind w:hanging="0" w:left="0"/>
              <w:rPr/>
            </w:pPr>
            <w:r>
              <w:rPr/>
              <w:t>Pupils recognise that most friendships have ups and downs, and that these can often be worked through so that the friendship is repaired or even strengthened, and that resorting to violence is never right.</w:t>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learn what a stereotype is, and how stereotypes can be unfair, negative or destructive. </w:t>
            </w:r>
          </w:p>
          <w:p>
            <w:pPr>
              <w:pStyle w:val="3Bulletedcopyblue"/>
              <w:numPr>
                <w:ilvl w:val="0"/>
                <w:numId w:val="0"/>
              </w:numPr>
              <w:spacing w:before="0" w:after="120"/>
              <w:ind w:hanging="0" w:left="0"/>
              <w:rPr/>
            </w:pPr>
            <w:r>
              <w:rPr>
                <w:b/>
              </w:rPr>
              <w:t xml:space="preserve">ONLINE: </w:t>
            </w:r>
            <w:r>
              <w:rPr/>
              <w:t>Pupils recognise that the same principles apply to online relationships as to face-to-face relationships, including the importance of respect for others.</w:t>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rFonts w:cs="Arial"/>
                <w:szCs w:val="20"/>
              </w:rPr>
            </w:pPr>
            <w:r>
              <w:rPr>
                <w:rFonts w:cs="Arial"/>
                <w:szCs w:val="20"/>
              </w:rPr>
              <w:t>Pupils can recognise and respond to a wide range of emotions in themselves and others and know ways to respond.</w:t>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rFonts w:cs="Arial"/>
                <w:szCs w:val="20"/>
              </w:rPr>
            </w:pPr>
            <w:r>
              <w:rPr>
                <w:rFonts w:cs="Arial"/>
                <w:szCs w:val="20"/>
              </w:rPr>
              <w:t>Pupils can reflect on how their body has changed and anticipate body changes.</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ind w:hanging="0" w:left="0"/>
              <w:rPr/>
            </w:pPr>
            <w:r>
              <w:rPr/>
              <w:t xml:space="preserve">Pupils develop strategies to respond safely and appropriately to adults they may encounter (in all contexts, including online) whom they do not know. </w:t>
            </w:r>
          </w:p>
          <w:p>
            <w:pPr>
              <w:pStyle w:val="3Bulletedcopyblue"/>
              <w:numPr>
                <w:ilvl w:val="0"/>
                <w:numId w:val="0"/>
              </w:numPr>
              <w:spacing w:before="0" w:after="120"/>
              <w:ind w:hanging="0" w:left="0"/>
              <w:rPr/>
            </w:pPr>
            <w:r>
              <w:rPr/>
              <w:t xml:space="preserve">Pupils recognise the importance of boundaries and what sorts of boundaries are appropriate in friendships with peers and others </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Aalfred and Aalbert</w:t>
            </w:r>
          </w:p>
          <w:p>
            <w:pPr>
              <w:pStyle w:val="Normal"/>
              <w:rPr>
                <w:color w:val="0070C0"/>
              </w:rPr>
            </w:pPr>
            <w:r>
              <w:rPr>
                <w:color w:val="0070C0"/>
              </w:rPr>
              <w:t>Morag Hood</w:t>
            </w:r>
          </w:p>
          <w:p>
            <w:pPr>
              <w:pStyle w:val="Normal"/>
              <w:rPr>
                <w:color w:val="0070C0"/>
              </w:rPr>
            </w:pPr>
            <w:r>
              <w:rPr>
                <w:color w:val="0070C0"/>
              </w:rPr>
            </w:r>
          </w:p>
          <w:p>
            <w:pPr>
              <w:pStyle w:val="Normal"/>
              <w:spacing w:before="0" w:after="120"/>
              <w:rPr>
                <w:b/>
                <w:sz w:val="24"/>
              </w:rPr>
            </w:pPr>
            <w:r>
              <w:rPr>
                <w:b/>
                <w:sz w:val="24"/>
              </w:rPr>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sz w:val="24"/>
              </w:rPr>
            </w:pPr>
            <w:r>
              <w:rPr>
                <w:b/>
                <w:sz w:val="24"/>
              </w:rPr>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pPr>
            <w:r>
              <w:rPr/>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Along Came A Different</w:t>
            </w:r>
          </w:p>
          <w:p>
            <w:pPr>
              <w:pStyle w:val="Normal"/>
              <w:rPr>
                <w:color w:val="0070C0"/>
              </w:rPr>
            </w:pPr>
            <w:r>
              <w:rPr>
                <w:color w:val="0070C0"/>
              </w:rPr>
              <w:t>Tom McLaughlin</w:t>
            </w:r>
          </w:p>
          <w:p>
            <w:pPr>
              <w:pStyle w:val="Normal"/>
              <w:rPr>
                <w:color w:val="0070C0"/>
              </w:rPr>
            </w:pPr>
            <w:r>
              <w:rPr>
                <w:color w:val="0070C0"/>
              </w:rPr>
            </w:r>
          </w:p>
          <w:p>
            <w:pPr>
              <w:pStyle w:val="Normal"/>
              <w:rPr>
                <w:b/>
                <w:color w:val="0070C0"/>
              </w:rPr>
            </w:pPr>
            <w:r>
              <w:rPr>
                <w:b/>
                <w:color w:val="0070C0"/>
              </w:rPr>
              <w:t>Dogs Don’t do Ballet</w:t>
            </w:r>
          </w:p>
          <w:p>
            <w:pPr>
              <w:pStyle w:val="Normal"/>
              <w:rPr>
                <w:color w:val="0070C0"/>
              </w:rPr>
            </w:pPr>
            <w:r>
              <w:rPr>
                <w:color w:val="0070C0"/>
              </w:rPr>
              <w:t>Sarah Oglivie</w:t>
            </w:r>
          </w:p>
          <w:p>
            <w:pPr>
              <w:pStyle w:val="Normal"/>
              <w:rPr>
                <w:color w:val="0070C0"/>
              </w:rPr>
            </w:pPr>
            <w:r>
              <w:rPr>
                <w:color w:val="0070C0"/>
              </w:rPr>
            </w:r>
          </w:p>
          <w:p>
            <w:pPr>
              <w:pStyle w:val="Normal"/>
              <w:rPr>
                <w:b/>
                <w:color w:val="0070C0"/>
              </w:rPr>
            </w:pPr>
            <w:r>
              <w:rPr>
                <w:b/>
                <w:color w:val="0070C0"/>
              </w:rPr>
              <w:t>Red: A Crayon’s Story</w:t>
            </w:r>
          </w:p>
          <w:p>
            <w:pPr>
              <w:pStyle w:val="Normal"/>
              <w:rPr>
                <w:color w:val="0070C0"/>
              </w:rPr>
            </w:pPr>
            <w:r>
              <w:rPr>
                <w:color w:val="0070C0"/>
              </w:rPr>
              <w:t>Michael Hall</w:t>
            </w:r>
          </w:p>
          <w:p>
            <w:pPr>
              <w:pStyle w:val="Normal"/>
              <w:rPr>
                <w:color w:val="0070C0"/>
              </w:rPr>
            </w:pPr>
            <w:r>
              <w:rPr>
                <w:color w:val="0070C0"/>
              </w:rPr>
            </w:r>
          </w:p>
          <w:p>
            <w:pPr>
              <w:pStyle w:val="Normal"/>
              <w:spacing w:before="0" w:after="120"/>
              <w:ind w:firstLine="720" w:right="0"/>
              <w:rPr/>
            </w:pPr>
            <w:r>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color w:val="00B050"/>
              </w:rPr>
            </w:pPr>
            <w:r>
              <w:rPr>
                <w:color w:val="00B050"/>
              </w:rPr>
              <w:t>Mouth hygiene and teeth</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Julian is a Mermaid</w:t>
            </w:r>
          </w:p>
          <w:p>
            <w:pPr>
              <w:pStyle w:val="Normal"/>
              <w:rPr>
                <w:color w:val="0070C0"/>
              </w:rPr>
            </w:pPr>
            <w:r>
              <w:rPr>
                <w:color w:val="0070C0"/>
              </w:rPr>
              <w:t>Jessica Love</w:t>
            </w:r>
          </w:p>
          <w:p>
            <w:pPr>
              <w:pStyle w:val="Normal"/>
              <w:rPr>
                <w:color w:val="0070C0"/>
              </w:rPr>
            </w:pPr>
            <w:r>
              <w:rPr>
                <w:color w:val="0070C0"/>
              </w:rPr>
            </w:r>
          </w:p>
          <w:p>
            <w:pPr>
              <w:pStyle w:val="Normal"/>
              <w:rPr/>
            </w:pPr>
            <w:r>
              <w:rPr>
                <w:b/>
                <w:color w:val="0070C0"/>
              </w:rPr>
              <w:t xml:space="preserve">When Sadness Comes to Call by </w:t>
            </w:r>
            <w:r>
              <w:rPr>
                <w:color w:val="0070C0"/>
              </w:rPr>
              <w:t>Eva Eland</w:t>
            </w:r>
          </w:p>
          <w:p>
            <w:pPr>
              <w:pStyle w:val="Normal"/>
              <w:rPr>
                <w:color w:val="FF0000"/>
              </w:rPr>
            </w:pPr>
            <w:r>
              <w:rPr>
                <w:color w:val="FF0000"/>
              </w:rPr>
              <w:t>NSPCC Speak Out Stay Safe AOW to continue every Year 1-6 with age appropriate context</w:t>
            </w:r>
          </w:p>
          <w:p>
            <w:pPr>
              <w:pStyle w:val="Normal"/>
              <w:rPr>
                <w:color w:val="FF0000"/>
              </w:rPr>
            </w:pPr>
            <w:r>
              <w:rPr>
                <w:color w:val="FF0000"/>
              </w:rPr>
            </w:r>
          </w:p>
          <w:p>
            <w:pPr>
              <w:pStyle w:val="Normal"/>
              <w:spacing w:before="0" w:after="120"/>
              <w:rPr>
                <w:color w:val="FF0000"/>
              </w:rPr>
            </w:pPr>
            <w:r>
              <w:rPr>
                <w:color w:val="FF0000"/>
              </w:rPr>
              <w:t>Mental health matters</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private</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male</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respect</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strategy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courtesy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excluded</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offspring</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security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bystander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bully</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color w:val="0070C0"/>
                <w:sz w:val="24"/>
              </w:rPr>
              <w:t>legal</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color w:val="0070C0"/>
                <w:sz w:val="24"/>
              </w:rPr>
              <w:t>stereotypes</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color w:val="0070C0"/>
                <w:sz w:val="24"/>
              </w:rPr>
              <w:t>boundary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0000"/>
                <w:sz w:val="24"/>
              </w:rPr>
            </w:pPr>
            <w:r>
              <w:rPr>
                <w:b/>
                <w:color w:val="FF0000"/>
                <w:sz w:val="24"/>
              </w:rPr>
            </w:r>
          </w:p>
        </w:tc>
        <w:tc>
          <w:tcPr>
            <w:tcW w:w="1742"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FF0000"/>
                <w:sz w:val="24"/>
              </w:rPr>
            </w:pPr>
            <w:r>
              <w:rPr>
                <w:b/>
                <w:color w:val="FF0000"/>
                <w:sz w:val="24"/>
              </w:rPr>
            </w:r>
          </w:p>
        </w:tc>
        <w:tc>
          <w:tcPr>
            <w:tcW w:w="173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808080"/>
                <w:sz w:val="24"/>
              </w:rPr>
            </w:pPr>
            <w:r>
              <w:rPr>
                <w:b/>
                <w:color w:val="808080"/>
                <w:sz w:val="24"/>
              </w:rPr>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808080"/>
                <w:sz w:val="24"/>
              </w:rPr>
            </w:pPr>
            <w:r>
              <w:rPr>
                <w:b/>
                <w:color w:val="808080"/>
                <w:sz w:val="24"/>
              </w:rPr>
            </w:r>
          </w:p>
        </w:tc>
        <w:tc>
          <w:tcPr>
            <w:tcW w:w="1740"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808080"/>
                <w:sz w:val="24"/>
              </w:rPr>
            </w:pPr>
            <w:r>
              <w:rPr>
                <w:b/>
                <w:color w:val="808080"/>
                <w:sz w:val="24"/>
              </w:rPr>
            </w:r>
          </w:p>
        </w:tc>
      </w:tr>
      <w:tr>
        <w:trPr>
          <w:trHeight w:val="406" w:hRule="atLeast"/>
        </w:trPr>
        <w:tc>
          <w:tcPr>
            <w:tcW w:w="4331"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bCs/>
                <w:color w:val="0070C0"/>
              </w:rPr>
              <w:t>Blue= No Outsiders</w:t>
            </w:r>
          </w:p>
        </w:tc>
        <w:tc>
          <w:tcPr>
            <w:tcW w:w="4330"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bCs/>
                <w:color w:val="FF0000"/>
              </w:rPr>
              <w:t>Red= Outside providers</w:t>
            </w:r>
          </w:p>
        </w:tc>
        <w:tc>
          <w:tcPr>
            <w:tcW w:w="347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bCs/>
                <w:color w:val="00B050"/>
              </w:rPr>
              <w:t>Green= Science curriculum</w:t>
            </w:r>
          </w:p>
        </w:tc>
        <w:tc>
          <w:tcPr>
            <w:tcW w:w="3474"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bCs/>
                <w:color w:val="7030A0"/>
              </w:rPr>
              <w:t>Purple = other resources</w:t>
            </w:r>
          </w:p>
        </w:tc>
      </w:tr>
    </w:tbl>
    <w:p>
      <w:pPr>
        <w:pStyle w:val="Normal"/>
        <w:rPr/>
      </w:pPr>
      <w:r>
        <w:br w:type="page"/>
      </w:r>
      <w:r>
        <w:rPr/>
      </w:r>
    </w:p>
    <w:tbl>
      <w:tblPr>
        <w:tblW w:w="15614" w:type="dxa"/>
        <w:jc w:val="left"/>
        <w:tblInd w:w="0" w:type="dxa"/>
        <w:tblLayout w:type="fixed"/>
        <w:tblCellMar>
          <w:top w:w="0" w:type="dxa"/>
          <w:left w:w="108" w:type="dxa"/>
          <w:bottom w:w="0" w:type="dxa"/>
          <w:right w:w="108" w:type="dxa"/>
        </w:tblCellMar>
      </w:tblPr>
      <w:tblGrid>
        <w:gridCol w:w="2604"/>
        <w:gridCol w:w="1727"/>
        <w:gridCol w:w="863"/>
        <w:gridCol w:w="1732"/>
        <w:gridCol w:w="864"/>
        <w:gridCol w:w="871"/>
        <w:gridCol w:w="1742"/>
        <w:gridCol w:w="1737"/>
        <w:gridCol w:w="867"/>
        <w:gridCol w:w="867"/>
        <w:gridCol w:w="1740"/>
      </w:tblGrid>
      <w:tr>
        <w:trPr/>
        <w:tc>
          <w:tcPr>
            <w:tcW w:w="15614" w:type="dxa"/>
            <w:gridSpan w:val="11"/>
            <w:tcBorders>
              <w:top w:val="single" w:sz="4" w:space="0" w:color="000000"/>
              <w:left w:val="single" w:sz="4" w:space="0" w:color="000000"/>
              <w:bottom w:val="single" w:sz="4" w:space="0" w:color="000000"/>
              <w:right w:val="single" w:sz="4" w:space="0" w:color="000000"/>
            </w:tcBorders>
            <w:shd w:fill="92D050" w:val="clear"/>
          </w:tcPr>
          <w:p>
            <w:pPr>
              <w:pStyle w:val="Normal"/>
              <w:spacing w:before="0" w:after="120"/>
              <w:jc w:val="center"/>
              <w:rPr>
                <w:rFonts w:cs="Arial"/>
                <w:sz w:val="28"/>
              </w:rPr>
            </w:pPr>
            <w:r>
              <w:rPr>
                <w:rFonts w:cs="Arial"/>
                <w:sz w:val="28"/>
              </w:rPr>
              <w:t>Year 5</w:t>
            </w:r>
          </w:p>
        </w:tc>
      </w:tr>
      <w:tr>
        <w:trPr/>
        <w:tc>
          <w:tcPr>
            <w:tcW w:w="7790"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13"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7"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13"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7"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rPr/>
            </w:pPr>
            <w:r>
              <w:rPr>
                <w:rFonts w:cs="Arial"/>
                <w:szCs w:val="20"/>
              </w:rPr>
              <w:t>Pupils learn how to recognise if family relationships are making them feel unhappy or unsafe, and how to seek help or advice from others if needed.</w:t>
            </w:r>
          </w:p>
          <w:p>
            <w:pPr>
              <w:pStyle w:val="Normal"/>
              <w:rPr>
                <w:rFonts w:cs="Arial"/>
                <w:szCs w:val="20"/>
              </w:rPr>
            </w:pPr>
            <w:r>
              <w:rPr>
                <w:rFonts w:cs="Arial"/>
                <w:szCs w:val="20"/>
              </w:rPr>
            </w:r>
          </w:p>
          <w:p>
            <w:pPr>
              <w:pStyle w:val="Normal"/>
              <w:spacing w:before="0" w:after="120"/>
              <w:rPr/>
            </w:pPr>
            <w:r>
              <w:rPr/>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recognise the importance of permission-seeking and giving in relationships with friends, peers and adults.</w:t>
            </w:r>
          </w:p>
          <w:p>
            <w:pPr>
              <w:pStyle w:val="Normal"/>
              <w:spacing w:before="0" w:after="120"/>
              <w:rPr>
                <w:rFonts w:cs="Arial"/>
                <w:szCs w:val="20"/>
              </w:rPr>
            </w:pPr>
            <w:r>
              <w:rPr>
                <w:rFonts w:cs="Arial"/>
                <w:szCs w:val="20"/>
              </w:rPr>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learn how to: recognise who to trust and who not to trust; how to judge when a friendship is making them feel unhappy or uncomfortable; manage conflict; how to manage these situations and how to seek help or advice from others, if needed.</w:t>
            </w:r>
          </w:p>
          <w:p>
            <w:pPr>
              <w:pStyle w:val="Normal"/>
              <w:rPr>
                <w:rFonts w:cs="Arial"/>
                <w:szCs w:val="20"/>
              </w:rPr>
            </w:pPr>
            <w:r>
              <w:rPr>
                <w:rFonts w:cs="Arial"/>
                <w:szCs w:val="20"/>
              </w:rPr>
            </w:r>
          </w:p>
          <w:p>
            <w:pPr>
              <w:pStyle w:val="Normal"/>
              <w:rPr/>
            </w:pPr>
            <w:r>
              <w:rPr>
                <w:rFonts w:cs="Arial"/>
                <w:b/>
                <w:szCs w:val="20"/>
              </w:rPr>
              <w:t>ONLINE</w:t>
            </w:r>
            <w:r>
              <w:rPr>
                <w:rFonts w:cs="Arial"/>
                <w:szCs w:val="20"/>
              </w:rPr>
              <w:t xml:space="preserve"> relationships</w:t>
            </w:r>
          </w:p>
          <w:p>
            <w:pPr>
              <w:pStyle w:val="Normal"/>
              <w:spacing w:before="0" w:after="120"/>
              <w:rPr/>
            </w:pPr>
            <w:r>
              <w:rPr>
                <w:rFonts w:cs="Arial"/>
                <w:szCs w:val="20"/>
              </w:rPr>
              <w:t>Pupils recognise that people may not be as they seem.</w:t>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recognise that different people benefit from being handled in different ways.</w:t>
            </w:r>
          </w:p>
          <w:p>
            <w:pPr>
              <w:pStyle w:val="Normal"/>
              <w:rPr>
                <w:rFonts w:cs="Arial"/>
                <w:szCs w:val="20"/>
              </w:rPr>
            </w:pPr>
            <w:r>
              <w:rPr>
                <w:rFonts w:cs="Arial"/>
                <w:szCs w:val="20"/>
              </w:rPr>
            </w:r>
          </w:p>
          <w:p>
            <w:pPr>
              <w:pStyle w:val="Normal"/>
              <w:spacing w:before="0" w:after="120"/>
              <w:rPr>
                <w:rFonts w:cs="Arial"/>
                <w:szCs w:val="20"/>
              </w:rPr>
            </w:pPr>
            <w:r>
              <w:rPr>
                <w:rFonts w:cs="Arial"/>
                <w:szCs w:val="20"/>
              </w:rPr>
              <w:t>Pupils can anticipate how their emotions may change as they approach and/or move through puberty.</w:t>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can describe the changes as humans develop from birth to old age.</w:t>
            </w:r>
          </w:p>
          <w:p>
            <w:pPr>
              <w:pStyle w:val="Normal"/>
              <w:rPr>
                <w:rFonts w:cs="Arial"/>
                <w:szCs w:val="20"/>
              </w:rPr>
            </w:pPr>
            <w:r>
              <w:rPr>
                <w:rFonts w:cs="Arial"/>
                <w:szCs w:val="20"/>
              </w:rPr>
            </w:r>
          </w:p>
          <w:p>
            <w:pPr>
              <w:pStyle w:val="Normal"/>
              <w:rPr>
                <w:rFonts w:cs="Arial"/>
                <w:szCs w:val="20"/>
              </w:rPr>
            </w:pPr>
            <w:r>
              <w:rPr>
                <w:rFonts w:cs="Arial"/>
                <w:szCs w:val="20"/>
              </w:rPr>
              <w:t>Pupils can anticipate how their body may change as they approach and/or move through puberty</w:t>
            </w:r>
          </w:p>
          <w:p>
            <w:pPr>
              <w:pStyle w:val="Normal"/>
              <w:spacing w:before="0" w:after="120"/>
              <w:rPr>
                <w:rFonts w:cs="Arial"/>
                <w:szCs w:val="20"/>
              </w:rPr>
            </w:pPr>
            <w:r>
              <w:rPr>
                <w:rFonts w:cs="Arial"/>
                <w:szCs w:val="20"/>
              </w:rPr>
              <w:t>including menstruation.</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szCs w:val="20"/>
              </w:rPr>
              <w:t xml:space="preserve">Pupils know how to report concerns or abuse, and the vocabulary and confidence needed to do so. </w:t>
            </w:r>
          </w:p>
          <w:p>
            <w:pPr>
              <w:pStyle w:val="Normal"/>
              <w:rPr>
                <w:rFonts w:cs="Arial"/>
                <w:szCs w:val="20"/>
              </w:rPr>
            </w:pPr>
            <w:r>
              <w:rPr>
                <w:rFonts w:cs="Arial"/>
                <w:szCs w:val="20"/>
              </w:rPr>
            </w:r>
          </w:p>
          <w:p>
            <w:pPr>
              <w:pStyle w:val="Normal"/>
              <w:rPr>
                <w:rFonts w:cs="Arial"/>
                <w:szCs w:val="20"/>
              </w:rPr>
            </w:pPr>
            <w:r>
              <w:rPr>
                <w:rFonts w:cs="Arial"/>
                <w:szCs w:val="20"/>
              </w:rPr>
              <w:t xml:space="preserve">Pupils recognise what sorts of boundaries are appropriate in friendships with peers and others (including in a digital context). </w:t>
            </w:r>
          </w:p>
          <w:p>
            <w:pPr>
              <w:pStyle w:val="3Bulletedcopyblue"/>
              <w:numPr>
                <w:ilvl w:val="0"/>
                <w:numId w:val="0"/>
              </w:numPr>
              <w:spacing w:before="0" w:after="120"/>
              <w:ind w:hanging="0" w:left="360" w:right="0"/>
              <w:rPr>
                <w:rFonts w:cs="Arial"/>
                <w:szCs w:val="20"/>
              </w:rPr>
            </w:pPr>
            <w:r>
              <w:rPr>
                <w:rFonts w:cs="Arial"/>
                <w:szCs w:val="20"/>
              </w:rPr>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The Girls</w:t>
            </w:r>
          </w:p>
          <w:p>
            <w:pPr>
              <w:pStyle w:val="Normal"/>
              <w:rPr>
                <w:color w:val="0070C0"/>
              </w:rPr>
            </w:pPr>
            <w:r>
              <w:rPr>
                <w:color w:val="0070C0"/>
              </w:rPr>
              <w:t>Lauren Lee and Jenny Lovlie</w:t>
            </w:r>
          </w:p>
          <w:p>
            <w:pPr>
              <w:pStyle w:val="Normal"/>
              <w:rPr>
                <w:color w:val="0070C0"/>
              </w:rPr>
            </w:pPr>
            <w:r>
              <w:rPr>
                <w:color w:val="0070C0"/>
              </w:rPr>
            </w:r>
          </w:p>
          <w:p>
            <w:pPr>
              <w:pStyle w:val="Normal"/>
              <w:rPr>
                <w:b/>
                <w:color w:val="0070C0"/>
              </w:rPr>
            </w:pPr>
            <w:r>
              <w:rPr>
                <w:b/>
                <w:color w:val="0070C0"/>
              </w:rPr>
              <w:t>And Tango Makes Three</w:t>
            </w:r>
          </w:p>
          <w:p>
            <w:pPr>
              <w:pStyle w:val="Normal"/>
              <w:rPr>
                <w:color w:val="0070C0"/>
              </w:rPr>
            </w:pPr>
            <w:r>
              <w:rPr>
                <w:color w:val="0070C0"/>
              </w:rPr>
              <w:t>Justin Richardson and Peter Parnell</w:t>
            </w:r>
          </w:p>
          <w:p>
            <w:pPr>
              <w:pStyle w:val="Normal"/>
              <w:spacing w:before="0" w:after="120"/>
              <w:rPr>
                <w:color w:val="0070C0"/>
              </w:rPr>
            </w:pPr>
            <w:r>
              <w:rPr>
                <w:color w:val="0070C0"/>
              </w:rPr>
            </w:r>
          </w:p>
        </w:tc>
        <w:tc>
          <w:tcPr>
            <w:tcW w:w="2590"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color w:val="0070C0"/>
              </w:rPr>
            </w:pPr>
            <w:r>
              <w:rPr>
                <w:color w:val="0070C0"/>
              </w:rPr>
            </w:r>
          </w:p>
        </w:tc>
        <w:tc>
          <w:tcPr>
            <w:tcW w:w="2596"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color w:val="0070C0"/>
              </w:rPr>
            </w:pPr>
            <w:r>
              <w:rPr>
                <w:color w:val="0070C0"/>
              </w:rPr>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Kenny Lives with Erica and Martina</w:t>
            </w:r>
          </w:p>
          <w:p>
            <w:pPr>
              <w:pStyle w:val="Normal"/>
              <w:rPr>
                <w:color w:val="0070C0"/>
              </w:rPr>
            </w:pPr>
            <w:r>
              <w:rPr>
                <w:color w:val="0070C0"/>
              </w:rPr>
              <w:t>Olly Pike</w:t>
            </w:r>
          </w:p>
          <w:p>
            <w:pPr>
              <w:pStyle w:val="Normal"/>
              <w:rPr>
                <w:color w:val="0070C0"/>
              </w:rPr>
            </w:pPr>
            <w:r>
              <w:rPr>
                <w:color w:val="0070C0"/>
              </w:rPr>
            </w:r>
          </w:p>
          <w:p>
            <w:pPr>
              <w:pStyle w:val="Normal"/>
              <w:rPr>
                <w:b/>
                <w:color w:val="0070C0"/>
              </w:rPr>
            </w:pPr>
            <w:r>
              <w:rPr>
                <w:b/>
                <w:color w:val="0070C0"/>
              </w:rPr>
              <w:t xml:space="preserve">How to Heal a Broken Wing </w:t>
            </w:r>
          </w:p>
          <w:p>
            <w:pPr>
              <w:pStyle w:val="Normal"/>
              <w:rPr>
                <w:color w:val="0070C0"/>
              </w:rPr>
            </w:pPr>
            <w:r>
              <w:rPr>
                <w:color w:val="0070C0"/>
              </w:rPr>
              <w:t>Bob Graham</w:t>
            </w:r>
          </w:p>
          <w:p>
            <w:pPr>
              <w:pStyle w:val="Normal"/>
              <w:rPr>
                <w:color w:val="0070C0"/>
              </w:rPr>
            </w:pPr>
            <w:r>
              <w:rPr>
                <w:color w:val="0070C0"/>
              </w:rPr>
            </w:r>
          </w:p>
          <w:p>
            <w:pPr>
              <w:pStyle w:val="Normal"/>
              <w:spacing w:before="0" w:after="120"/>
              <w:rPr>
                <w:color w:val="0070C0"/>
              </w:rPr>
            </w:pPr>
            <w:r>
              <w:rPr>
                <w:color w:val="0070C0"/>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The Truth about Old People</w:t>
            </w:r>
          </w:p>
          <w:p>
            <w:pPr>
              <w:pStyle w:val="Normal"/>
              <w:rPr>
                <w:color w:val="0070C0"/>
              </w:rPr>
            </w:pPr>
            <w:r>
              <w:rPr>
                <w:color w:val="0070C0"/>
              </w:rPr>
              <w:t>Elina Ellis</w:t>
            </w:r>
          </w:p>
          <w:p>
            <w:pPr>
              <w:pStyle w:val="Normal"/>
              <w:rPr>
                <w:color w:val="0070C0"/>
              </w:rPr>
            </w:pPr>
            <w:r>
              <w:rPr>
                <w:color w:val="0070C0"/>
              </w:rPr>
            </w:r>
          </w:p>
          <w:p>
            <w:pPr>
              <w:pStyle w:val="Normal"/>
              <w:spacing w:before="0" w:after="120"/>
              <w:rPr>
                <w:color w:val="00B050"/>
              </w:rPr>
            </w:pPr>
            <w:r>
              <w:rPr>
                <w:color w:val="00B050"/>
              </w:rPr>
              <w:t>Puberty</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Rose Blanche</w:t>
            </w:r>
          </w:p>
          <w:p>
            <w:pPr>
              <w:pStyle w:val="Normal"/>
              <w:rPr>
                <w:color w:val="0070C0"/>
              </w:rPr>
            </w:pPr>
            <w:r>
              <w:rPr>
                <w:color w:val="0070C0"/>
              </w:rPr>
              <w:t>Ian McEwan and Roberto Innocenti</w:t>
            </w:r>
          </w:p>
          <w:p>
            <w:pPr>
              <w:pStyle w:val="Normal"/>
              <w:rPr>
                <w:color w:val="0070C0"/>
              </w:rPr>
            </w:pPr>
            <w:r>
              <w:rPr>
                <w:color w:val="0070C0"/>
              </w:rPr>
            </w:r>
          </w:p>
          <w:p>
            <w:pPr>
              <w:pStyle w:val="Normal"/>
              <w:rPr>
                <w:b/>
                <w:color w:val="0070C0"/>
              </w:rPr>
            </w:pPr>
            <w:r>
              <w:rPr>
                <w:b/>
                <w:color w:val="0070C0"/>
              </w:rPr>
              <w:t>Mixed</w:t>
            </w:r>
          </w:p>
          <w:p>
            <w:pPr>
              <w:pStyle w:val="Normal"/>
              <w:rPr>
                <w:color w:val="0070C0"/>
              </w:rPr>
            </w:pPr>
            <w:r>
              <w:rPr>
                <w:color w:val="0070C0"/>
              </w:rPr>
              <w:t>Arree Chung</w:t>
            </w:r>
          </w:p>
          <w:p>
            <w:pPr>
              <w:pStyle w:val="Normal"/>
              <w:spacing w:before="0" w:after="120"/>
              <w:rPr/>
            </w:pPr>
            <w:r>
              <w:rPr>
                <w:color w:val="FF0000"/>
              </w:rPr>
              <w:t>NSPCC Speak Out Stay Safe AOW to continue every Year 1-6 with age appropriate context and follow up workshops for greater depth</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private</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male</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respect</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strategy</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courtesy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excluded</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offspring</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security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bystander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bully</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0070C0"/>
                <w:sz w:val="24"/>
              </w:rPr>
              <w:t>legal</w:t>
            </w:r>
          </w:p>
        </w:tc>
        <w:tc>
          <w:tcPr>
            <w:tcW w:w="1727"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0070C0"/>
                <w:sz w:val="24"/>
              </w:rPr>
              <w:t>stereotypes</w:t>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0070C0"/>
                <w:sz w:val="24"/>
              </w:rPr>
              <w:t>boundary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puberty</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menstruation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period</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hormones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abuse</w:t>
            </w:r>
          </w:p>
        </w:tc>
      </w:tr>
      <w:tr>
        <w:trPr/>
        <w:tc>
          <w:tcPr>
            <w:tcW w:w="2604"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color w:val="00B050"/>
                <w:sz w:val="24"/>
              </w:rPr>
              <w:t>vagina</w:t>
            </w:r>
          </w:p>
        </w:tc>
        <w:tc>
          <w:tcPr>
            <w:tcW w:w="172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70C0"/>
                <w:sz w:val="24"/>
              </w:rPr>
            </w:pPr>
            <w:r>
              <w:rPr>
                <w:b/>
                <w:color w:val="0070C0"/>
                <w:sz w:val="24"/>
              </w:rPr>
            </w:r>
          </w:p>
        </w:tc>
        <w:tc>
          <w:tcPr>
            <w:tcW w:w="2595"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70C0"/>
                <w:sz w:val="24"/>
              </w:rPr>
            </w:pPr>
            <w:r>
              <w:rPr>
                <w:b/>
                <w:color w:val="0070C0"/>
                <w:sz w:val="24"/>
              </w:rPr>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42"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3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40"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r>
      <w:tr>
        <w:trPr>
          <w:trHeight w:val="532" w:hRule="atLeast"/>
        </w:trPr>
        <w:tc>
          <w:tcPr>
            <w:tcW w:w="4331"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sz w:val="24"/>
              </w:rPr>
            </w:pPr>
            <w:r>
              <w:rPr>
                <w:b/>
                <w:bCs/>
                <w:color w:val="0070C0"/>
              </w:rPr>
              <w:t>Blue= No Outsiders</w:t>
            </w:r>
          </w:p>
        </w:tc>
        <w:tc>
          <w:tcPr>
            <w:tcW w:w="4330"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bCs/>
                <w:color w:val="FF0000"/>
              </w:rPr>
              <w:t>Red= Outside providers</w:t>
            </w:r>
          </w:p>
        </w:tc>
        <w:tc>
          <w:tcPr>
            <w:tcW w:w="347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bCs/>
                <w:color w:val="00B050"/>
              </w:rPr>
              <w:t>Green= Science curriculum</w:t>
            </w:r>
          </w:p>
        </w:tc>
        <w:tc>
          <w:tcPr>
            <w:tcW w:w="3474"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bCs/>
                <w:color w:val="7030A0"/>
              </w:rPr>
              <w:t>Purple = other resources</w:t>
            </w:r>
          </w:p>
        </w:tc>
      </w:tr>
    </w:tbl>
    <w:p>
      <w:pPr>
        <w:pStyle w:val="Normal"/>
        <w:rPr/>
      </w:pPr>
      <w:r>
        <w:br w:type="page"/>
      </w:r>
      <w:r>
        <w:rPr/>
      </w:r>
    </w:p>
    <w:tbl>
      <w:tblPr>
        <w:tblW w:w="15614" w:type="dxa"/>
        <w:jc w:val="left"/>
        <w:tblInd w:w="0" w:type="dxa"/>
        <w:tblLayout w:type="fixed"/>
        <w:tblCellMar>
          <w:top w:w="0" w:type="dxa"/>
          <w:left w:w="108" w:type="dxa"/>
          <w:bottom w:w="0" w:type="dxa"/>
          <w:right w:w="108" w:type="dxa"/>
        </w:tblCellMar>
      </w:tblPr>
      <w:tblGrid>
        <w:gridCol w:w="2612"/>
        <w:gridCol w:w="1726"/>
        <w:gridCol w:w="863"/>
        <w:gridCol w:w="1725"/>
        <w:gridCol w:w="864"/>
        <w:gridCol w:w="871"/>
        <w:gridCol w:w="1742"/>
        <w:gridCol w:w="1737"/>
        <w:gridCol w:w="867"/>
        <w:gridCol w:w="867"/>
        <w:gridCol w:w="1740"/>
      </w:tblGrid>
      <w:tr>
        <w:trPr/>
        <w:tc>
          <w:tcPr>
            <w:tcW w:w="15614" w:type="dxa"/>
            <w:gridSpan w:val="11"/>
            <w:tcBorders>
              <w:top w:val="single" w:sz="4" w:space="0" w:color="000000"/>
              <w:left w:val="single" w:sz="4" w:space="0" w:color="000000"/>
              <w:bottom w:val="single" w:sz="4" w:space="0" w:color="000000"/>
              <w:right w:val="single" w:sz="4" w:space="0" w:color="000000"/>
            </w:tcBorders>
            <w:shd w:fill="833C0B" w:val="clear"/>
          </w:tcPr>
          <w:p>
            <w:pPr>
              <w:pStyle w:val="Normal"/>
              <w:spacing w:before="0" w:after="120"/>
              <w:jc w:val="center"/>
              <w:rPr>
                <w:rFonts w:cs="Arial"/>
                <w:color w:val="F8F8F8"/>
                <w:sz w:val="28"/>
              </w:rPr>
            </w:pPr>
            <w:r>
              <w:rPr>
                <w:rFonts w:cs="Arial"/>
                <w:color w:val="F8F8F8"/>
                <w:sz w:val="28"/>
              </w:rPr>
              <w:t>Year 6</w:t>
            </w:r>
          </w:p>
        </w:tc>
      </w:tr>
      <w:tr>
        <w:trPr/>
        <w:tc>
          <w:tcPr>
            <w:tcW w:w="7790"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Relationships</w:t>
            </w:r>
          </w:p>
        </w:tc>
        <w:tc>
          <w:tcPr>
            <w:tcW w:w="2613"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Emotional Health</w:t>
            </w:r>
          </w:p>
        </w:tc>
        <w:tc>
          <w:tcPr>
            <w:tcW w:w="2604"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rFonts w:cs="Arial"/>
                <w:sz w:val="28"/>
              </w:rPr>
            </w:pPr>
            <w:r>
              <w:rPr>
                <w:rFonts w:cs="Arial"/>
                <w:sz w:val="28"/>
              </w:rPr>
              <w:t>Physical Health</w:t>
            </w:r>
          </w:p>
        </w:tc>
        <w:tc>
          <w:tcPr>
            <w:tcW w:w="2607"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before="0" w:after="120"/>
              <w:jc w:val="center"/>
              <w:rPr>
                <w:sz w:val="28"/>
              </w:rPr>
            </w:pPr>
            <w:r>
              <w:rPr>
                <w:rFonts w:cs="Arial"/>
                <w:sz w:val="28"/>
              </w:rPr>
              <w:t>Keeping Safe &amp; Challenges</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jc w:val="center"/>
              <w:rPr/>
            </w:pPr>
            <w:r>
              <w:rPr/>
              <w:t>Families and people who care for me</w:t>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Caring</w:t>
            </w:r>
          </w:p>
          <w:p>
            <w:pPr>
              <w:pStyle w:val="Normal"/>
              <w:spacing w:before="0" w:after="120"/>
              <w:jc w:val="center"/>
              <w:rPr/>
            </w:pPr>
            <w:r>
              <w:rPr/>
              <w:t xml:space="preserve">Friendships </w:t>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jc w:val="center"/>
              <w:rPr/>
            </w:pPr>
            <w:r>
              <w:rPr/>
              <w:t xml:space="preserve">Respectful </w:t>
            </w:r>
          </w:p>
          <w:p>
            <w:pPr>
              <w:pStyle w:val="Normal"/>
              <w:spacing w:before="0" w:after="120"/>
              <w:jc w:val="center"/>
              <w:rPr/>
            </w:pPr>
            <w:r>
              <w:rPr/>
              <w:t>Relationships</w:t>
            </w:r>
          </w:p>
        </w:tc>
        <w:tc>
          <w:tcPr>
            <w:tcW w:w="2613"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4"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c>
          <w:tcPr>
            <w:tcW w:w="2607" w:type="dxa"/>
            <w:gridSpan w:val="2"/>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jc w:val="center"/>
              <w:rPr>
                <w:rFonts w:cs="Arial"/>
                <w:sz w:val="28"/>
              </w:rPr>
            </w:pPr>
            <w:r>
              <w:rPr>
                <w:rFonts w:cs="Arial"/>
                <w:sz w:val="28"/>
              </w:rPr>
            </w:r>
          </w:p>
        </w:tc>
      </w:tr>
      <w:tr>
        <w:trPr>
          <w:trHeight w:val="4271" w:hRule="atLeast"/>
        </w:trPr>
        <w:tc>
          <w:tcPr>
            <w:tcW w:w="2612" w:type="dxa"/>
            <w:tcBorders>
              <w:top w:val="single" w:sz="4" w:space="0" w:color="000000"/>
              <w:left w:val="single" w:sz="4" w:space="0" w:color="000000"/>
              <w:bottom w:val="single" w:sz="4" w:space="0" w:color="000000"/>
              <w:right w:val="single" w:sz="4" w:space="0" w:color="000000"/>
            </w:tcBorders>
          </w:tcPr>
          <w:p>
            <w:pPr>
              <w:pStyle w:val="3Bulletedcopyblue"/>
              <w:numPr>
                <w:ilvl w:val="0"/>
                <w:numId w:val="0"/>
              </w:numPr>
              <w:spacing w:before="0" w:after="120"/>
              <w:ind w:hanging="0" w:left="0"/>
              <w:rPr/>
            </w:pPr>
            <w:r>
              <w:rPr/>
              <w:t xml:space="preserve">Pupils learn what a stereotype is, and how stereotypes can be unfair, negative or destructive. </w:t>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understand that they may be exposed to peer pressure and develop strategies to cope with this.</w:t>
            </w:r>
          </w:p>
          <w:p>
            <w:pPr>
              <w:pStyle w:val="Normal"/>
              <w:spacing w:before="0" w:after="120"/>
              <w:rPr>
                <w:rFonts w:cs="Arial"/>
                <w:szCs w:val="20"/>
              </w:rPr>
            </w:pPr>
            <w:r>
              <w:rPr>
                <w:rFonts w:cs="Arial"/>
                <w:szCs w:val="20"/>
              </w:rPr>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b/>
                <w:szCs w:val="20"/>
              </w:rPr>
              <w:t xml:space="preserve">ONLINE: </w:t>
            </w:r>
            <w:r>
              <w:rPr>
                <w:rFonts w:cs="Arial"/>
                <w:szCs w:val="20"/>
              </w:rPr>
              <w:t>Pupils can recognise how images in the media, including online do not always reflect reality and can affect how people feel about themselves.</w:t>
            </w:r>
          </w:p>
          <w:p>
            <w:pPr>
              <w:pStyle w:val="Normal"/>
              <w:rPr>
                <w:rFonts w:cs="Arial"/>
                <w:szCs w:val="20"/>
              </w:rPr>
            </w:pPr>
            <w:r>
              <w:rPr>
                <w:rFonts w:cs="Arial"/>
                <w:szCs w:val="20"/>
              </w:rPr>
            </w:r>
          </w:p>
          <w:p>
            <w:pPr>
              <w:pStyle w:val="3Bulletedcopyblue"/>
              <w:numPr>
                <w:ilvl w:val="0"/>
                <w:numId w:val="0"/>
              </w:numPr>
              <w:ind w:hanging="0" w:left="0"/>
              <w:rPr/>
            </w:pPr>
            <w:r>
              <w:rPr/>
              <w:t xml:space="preserve">Pupils critically consider their online friendships and sources of information including awareness of the risks associated with people they have never met. </w:t>
            </w:r>
          </w:p>
          <w:p>
            <w:pPr>
              <w:pStyle w:val="3Bulletedcopyblue"/>
              <w:numPr>
                <w:ilvl w:val="0"/>
                <w:numId w:val="0"/>
              </w:numPr>
              <w:spacing w:before="0" w:after="120"/>
              <w:ind w:hanging="0" w:left="0"/>
              <w:rPr/>
            </w:pPr>
            <w:r>
              <w:rPr/>
              <w:t>Pupils know how information and data is shared and used online.</w:t>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recognise what sorts of boundaries are appropriate in friendships with peers and others.</w:t>
            </w:r>
          </w:p>
          <w:p>
            <w:pPr>
              <w:pStyle w:val="Normal"/>
              <w:spacing w:before="0" w:after="120"/>
              <w:rPr/>
            </w:pPr>
            <w:r>
              <w:rPr>
                <w:rFonts w:cs="Arial"/>
                <w:szCs w:val="20"/>
              </w:rPr>
              <w:t xml:space="preserve">Focus on </w:t>
            </w:r>
            <w:r>
              <w:rPr/>
              <w:t>homophobia</w:t>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rPr>
                <w:rFonts w:cs="Arial"/>
                <w:szCs w:val="20"/>
              </w:rPr>
            </w:pPr>
            <w:r>
              <w:rPr>
                <w:rFonts w:cs="Arial"/>
                <w:szCs w:val="20"/>
              </w:rPr>
              <w:t>Pupils explore emotional and physical changes of puberty including using correct scientific terms to describe male and female organs.</w:t>
            </w:r>
          </w:p>
          <w:p>
            <w:pPr>
              <w:pStyle w:val="Normal"/>
              <w:rPr>
                <w:rFonts w:cs="Arial"/>
                <w:szCs w:val="20"/>
              </w:rPr>
            </w:pPr>
            <w:r>
              <w:rPr>
                <w:rFonts w:cs="Arial"/>
                <w:szCs w:val="20"/>
              </w:rPr>
            </w:r>
          </w:p>
          <w:p>
            <w:pPr>
              <w:pStyle w:val="Normal"/>
              <w:spacing w:before="0" w:after="120"/>
              <w:rPr/>
            </w:pPr>
            <w:r>
              <w:rPr>
                <w:rFonts w:cs="Arial"/>
                <w:szCs w:val="20"/>
              </w:rPr>
              <w:t>Pupils understand  how a baby is conceived and born</w:t>
            </w:r>
            <w:r>
              <w:rPr/>
              <w:t>.</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szCs w:val="20"/>
              </w:rPr>
              <w:t>Pupils recognise what sorts of boundaries are appropriate in friendships with peers and others (including in a digital context). Focus on cyberbullying.</w:t>
            </w:r>
          </w:p>
          <w:p>
            <w:pPr>
              <w:pStyle w:val="Normal"/>
              <w:rPr>
                <w:rFonts w:cs="Arial"/>
                <w:szCs w:val="20"/>
              </w:rPr>
            </w:pPr>
            <w:r>
              <w:rPr>
                <w:rFonts w:cs="Arial"/>
                <w:szCs w:val="20"/>
              </w:rPr>
            </w:r>
          </w:p>
          <w:p>
            <w:pPr>
              <w:pStyle w:val="Normal"/>
              <w:rPr/>
            </w:pPr>
            <w:r>
              <w:rPr/>
              <w:t>Moving on to secondary school</w:t>
            </w:r>
          </w:p>
          <w:p>
            <w:pPr>
              <w:pStyle w:val="Normal"/>
              <w:rPr/>
            </w:pPr>
            <w:r>
              <w:rPr/>
            </w:r>
          </w:p>
          <w:p>
            <w:pPr>
              <w:pStyle w:val="Normal"/>
              <w:spacing w:before="0" w:after="120"/>
              <w:rPr>
                <w:color w:val="FF0000"/>
              </w:rPr>
            </w:pPr>
            <w:r>
              <w:rPr>
                <w:color w:val="FF0000"/>
              </w:rPr>
              <w:t>NSPCC Speak Out Stay Safe AOW to continue every Year 1-6 with age appropriate context and follow up workshops for greater depth</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Introducing Teddy</w:t>
            </w:r>
          </w:p>
          <w:p>
            <w:pPr>
              <w:pStyle w:val="Normal"/>
              <w:rPr>
                <w:color w:val="0070C0"/>
              </w:rPr>
            </w:pPr>
            <w:r>
              <w:rPr>
                <w:color w:val="0070C0"/>
              </w:rPr>
              <w:t>Jessica Walton and Dougal MacPherson</w:t>
            </w:r>
          </w:p>
          <w:p>
            <w:pPr>
              <w:pStyle w:val="Normal"/>
              <w:rPr>
                <w:b/>
                <w:color w:val="0070C0"/>
              </w:rPr>
            </w:pPr>
            <w:r>
              <w:rPr>
                <w:b/>
                <w:color w:val="0070C0"/>
              </w:rPr>
            </w:r>
          </w:p>
          <w:p>
            <w:pPr>
              <w:pStyle w:val="Normal"/>
              <w:rPr>
                <w:b/>
                <w:color w:val="0070C0"/>
              </w:rPr>
            </w:pPr>
            <w:r>
              <w:rPr>
                <w:b/>
                <w:color w:val="0070C0"/>
              </w:rPr>
              <w:t>Leaf</w:t>
            </w:r>
          </w:p>
          <w:p>
            <w:pPr>
              <w:pStyle w:val="Normal"/>
              <w:rPr>
                <w:color w:val="0070C0"/>
              </w:rPr>
            </w:pPr>
            <w:r>
              <w:rPr>
                <w:color w:val="0070C0"/>
              </w:rPr>
              <w:t>Sandra Diekmann</w:t>
            </w:r>
          </w:p>
          <w:p>
            <w:pPr>
              <w:pStyle w:val="Normal"/>
              <w:spacing w:before="0" w:after="120"/>
              <w:rPr>
                <w:b/>
                <w:color w:val="0070C0"/>
              </w:rPr>
            </w:pPr>
            <w:r>
              <w:rPr>
                <w:b/>
                <w:color w:val="0070C0"/>
              </w:rPr>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70C0"/>
              </w:rPr>
            </w:pPr>
            <w:r>
              <w:rPr>
                <w:b/>
                <w:color w:val="0070C0"/>
              </w:rPr>
            </w:r>
          </w:p>
        </w:tc>
        <w:tc>
          <w:tcPr>
            <w:tcW w:w="2589" w:type="dxa"/>
            <w:gridSpan w:val="2"/>
            <w:tcBorders>
              <w:top w:val="single" w:sz="4" w:space="0" w:color="000000"/>
              <w:left w:val="single" w:sz="4" w:space="0" w:color="000000"/>
              <w:bottom w:val="single" w:sz="4" w:space="0" w:color="000000"/>
              <w:right w:val="single" w:sz="4" w:space="0" w:color="000000"/>
            </w:tcBorders>
          </w:tcPr>
          <w:p>
            <w:pPr>
              <w:pStyle w:val="Normal"/>
              <w:rPr>
                <w:b/>
                <w:color w:val="7030A0"/>
              </w:rPr>
            </w:pPr>
            <w:r>
              <w:rPr>
                <w:b/>
                <w:color w:val="7030A0"/>
              </w:rPr>
              <w:t>ChildNet peer pressure</w:t>
            </w:r>
          </w:p>
          <w:p>
            <w:pPr>
              <w:pStyle w:val="Normal"/>
              <w:rPr>
                <w:b/>
                <w:color w:val="7030A0"/>
              </w:rPr>
            </w:pPr>
            <w:r>
              <w:rPr>
                <w:b/>
                <w:color w:val="7030A0"/>
              </w:rPr>
              <w:t>. Crossing the Line</w:t>
            </w:r>
          </w:p>
          <w:p>
            <w:pPr>
              <w:pStyle w:val="Normal"/>
              <w:spacing w:before="0" w:after="120"/>
              <w:rPr>
                <w:b/>
                <w:color w:val="7030A0"/>
              </w:rPr>
            </w:pPr>
            <w:r>
              <w:rPr>
                <w:b/>
                <w:color w:val="7030A0"/>
              </w:rPr>
            </w:r>
          </w:p>
        </w:tc>
        <w:tc>
          <w:tcPr>
            <w:tcW w:w="2613"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King of the Sky</w:t>
            </w:r>
          </w:p>
          <w:p>
            <w:pPr>
              <w:pStyle w:val="Normal"/>
              <w:rPr>
                <w:b/>
                <w:color w:val="0070C0"/>
              </w:rPr>
            </w:pPr>
            <w:r>
              <w:rPr>
                <w:color w:val="0070C0"/>
              </w:rPr>
              <w:t>Nicola Davis</w:t>
            </w:r>
          </w:p>
          <w:p>
            <w:pPr>
              <w:pStyle w:val="Normal"/>
              <w:ind w:firstLine="720" w:right="0"/>
              <w:rPr>
                <w:b/>
                <w:color w:val="0070C0"/>
              </w:rPr>
            </w:pPr>
            <w:r>
              <w:rPr>
                <w:b/>
                <w:color w:val="0070C0"/>
              </w:rPr>
            </w:r>
          </w:p>
          <w:p>
            <w:pPr>
              <w:pStyle w:val="Normal"/>
              <w:rPr>
                <w:b/>
                <w:color w:val="7030A0"/>
              </w:rPr>
            </w:pPr>
            <w:r>
              <w:rPr>
                <w:b/>
                <w:color w:val="7030A0"/>
              </w:rPr>
              <w:t>ChildNet peer pressure</w:t>
            </w:r>
          </w:p>
          <w:p>
            <w:pPr>
              <w:pStyle w:val="Normal"/>
              <w:rPr>
                <w:b/>
                <w:color w:val="7030A0"/>
              </w:rPr>
            </w:pPr>
            <w:r>
              <w:rPr>
                <w:b/>
                <w:color w:val="7030A0"/>
              </w:rPr>
              <w:t>. Crossing the Line</w:t>
            </w:r>
          </w:p>
          <w:p>
            <w:pPr>
              <w:pStyle w:val="Normal"/>
              <w:spacing w:before="0" w:after="120"/>
              <w:rPr>
                <w:b/>
                <w:color w:val="0070C0"/>
              </w:rPr>
            </w:pPr>
            <w:r>
              <w:rPr>
                <w:b/>
                <w:color w:val="0070C0"/>
              </w:rPr>
            </w:r>
          </w:p>
        </w:tc>
        <w:tc>
          <w:tcPr>
            <w:tcW w:w="260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70C0"/>
              </w:rPr>
            </w:pPr>
            <w:r>
              <w:rPr>
                <w:b/>
                <w:color w:val="0070C0"/>
              </w:rPr>
              <w:t>Puberty</w:t>
            </w:r>
          </w:p>
        </w:tc>
        <w:tc>
          <w:tcPr>
            <w:tcW w:w="2607" w:type="dxa"/>
            <w:gridSpan w:val="2"/>
            <w:tcBorders>
              <w:top w:val="single" w:sz="4" w:space="0" w:color="000000"/>
              <w:left w:val="single" w:sz="4" w:space="0" w:color="000000"/>
              <w:bottom w:val="single" w:sz="4" w:space="0" w:color="000000"/>
              <w:right w:val="single" w:sz="4" w:space="0" w:color="000000"/>
            </w:tcBorders>
          </w:tcPr>
          <w:p>
            <w:pPr>
              <w:pStyle w:val="Normal"/>
              <w:rPr>
                <w:b/>
                <w:color w:val="0070C0"/>
              </w:rPr>
            </w:pPr>
            <w:r>
              <w:rPr>
                <w:b/>
                <w:color w:val="0070C0"/>
              </w:rPr>
              <w:t>The Only Way is Badger</w:t>
            </w:r>
          </w:p>
          <w:p>
            <w:pPr>
              <w:pStyle w:val="Normal"/>
              <w:rPr/>
            </w:pPr>
            <w:r>
              <w:rPr>
                <w:color w:val="0070C0"/>
              </w:rPr>
              <w:t>Stella J Jones and Carmen Saldana</w:t>
            </w:r>
          </w:p>
          <w:p>
            <w:pPr>
              <w:pStyle w:val="Normal"/>
              <w:rPr>
                <w:b/>
                <w:color w:val="0070C0"/>
              </w:rPr>
            </w:pPr>
            <w:r>
              <w:rPr>
                <w:b/>
                <w:color w:val="0070C0"/>
              </w:rPr>
            </w:r>
          </w:p>
          <w:p>
            <w:pPr>
              <w:pStyle w:val="Normal"/>
              <w:rPr>
                <w:b/>
                <w:color w:val="0070C0"/>
              </w:rPr>
            </w:pPr>
            <w:r>
              <w:rPr>
                <w:b/>
                <w:color w:val="0070C0"/>
              </w:rPr>
              <w:t>The Island</w:t>
            </w:r>
          </w:p>
          <w:p>
            <w:pPr>
              <w:pStyle w:val="Normal"/>
              <w:rPr>
                <w:color w:val="0070C0"/>
              </w:rPr>
            </w:pPr>
            <w:r>
              <w:rPr>
                <w:color w:val="0070C0"/>
              </w:rPr>
              <w:t>Armin Greder</w:t>
            </w:r>
          </w:p>
          <w:p>
            <w:pPr>
              <w:pStyle w:val="Normal"/>
              <w:rPr>
                <w:b/>
                <w:color w:val="0070C0"/>
              </w:rPr>
            </w:pPr>
            <w:r>
              <w:rPr>
                <w:b/>
                <w:color w:val="0070C0"/>
              </w:rPr>
            </w:r>
          </w:p>
          <w:p>
            <w:pPr>
              <w:pStyle w:val="Normal"/>
              <w:rPr/>
            </w:pPr>
            <w:r>
              <w:rPr>
                <w:b/>
                <w:color w:val="0070C0"/>
              </w:rPr>
              <w:t xml:space="preserve">A Day in the Life of </w:t>
            </w:r>
            <w:r>
              <w:rPr>
                <w:color w:val="0070C0"/>
              </w:rPr>
              <w:t>Marlon Brando</w:t>
            </w:r>
          </w:p>
          <w:p>
            <w:pPr>
              <w:pStyle w:val="Normal"/>
              <w:spacing w:before="0" w:after="120"/>
              <w:rPr>
                <w:b/>
                <w:color w:val="0070C0"/>
              </w:rPr>
            </w:pPr>
            <w:r>
              <w:rPr>
                <w:color w:val="0070C0"/>
              </w:rPr>
              <w:t>Marlan Brando and Jill Twiss</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Vocabulary</w:t>
            </w:r>
          </w:p>
        </w:tc>
        <w:tc>
          <w:tcPr>
            <w:tcW w:w="1726"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boy</w:t>
            </w:r>
          </w:p>
        </w:tc>
        <w:tc>
          <w:tcPr>
            <w:tcW w:w="258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girl</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clean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family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similar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different</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private</w:t>
            </w:r>
          </w:p>
        </w:tc>
        <w:tc>
          <w:tcPr>
            <w:tcW w:w="1726"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male</w:t>
            </w:r>
          </w:p>
        </w:tc>
        <w:tc>
          <w:tcPr>
            <w:tcW w:w="258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female</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safe</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worries</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body part</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penis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sz w:val="24"/>
              </w:rPr>
              <w:t>vulva</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respect</w:t>
            </w:r>
          </w:p>
        </w:tc>
        <w:tc>
          <w:tcPr>
            <w:tcW w:w="1726"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9900"/>
                <w:sz w:val="24"/>
              </w:rPr>
              <w:t>strategy</w:t>
            </w:r>
          </w:p>
        </w:tc>
        <w:tc>
          <w:tcPr>
            <w:tcW w:w="258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courtesy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excluded</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FF0000"/>
                <w:sz w:val="24"/>
              </w:rPr>
              <w:t>offspring</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security</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bystander</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sz w:val="24"/>
              </w:rPr>
            </w:pPr>
            <w:r>
              <w:rPr>
                <w:b/>
                <w:color w:val="808080"/>
                <w:sz w:val="24"/>
              </w:rPr>
              <w:t>bully</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0070C0"/>
                <w:sz w:val="24"/>
              </w:rPr>
              <w:t>legal</w:t>
            </w:r>
          </w:p>
        </w:tc>
        <w:tc>
          <w:tcPr>
            <w:tcW w:w="1726"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9900"/>
                <w:sz w:val="24"/>
              </w:rPr>
            </w:pPr>
            <w:r>
              <w:rPr>
                <w:b/>
                <w:color w:val="0070C0"/>
                <w:sz w:val="24"/>
              </w:rPr>
              <w:t>stereotypes</w:t>
            </w:r>
          </w:p>
        </w:tc>
        <w:tc>
          <w:tcPr>
            <w:tcW w:w="258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0070C0"/>
                <w:sz w:val="24"/>
              </w:rPr>
              <w:t>boundary</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00B050"/>
                <w:sz w:val="24"/>
              </w:rPr>
              <w:t>puberty</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FF0000"/>
                <w:sz w:val="24"/>
              </w:rPr>
            </w:pPr>
            <w:r>
              <w:rPr>
                <w:b/>
                <w:color w:val="00B050"/>
                <w:sz w:val="24"/>
              </w:rPr>
              <w:t>menstruation</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00B050"/>
                <w:sz w:val="24"/>
              </w:rPr>
              <w:t>period</w:t>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00B050"/>
                <w:sz w:val="24"/>
              </w:rPr>
              <w:t>hormones</w:t>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8080"/>
                <w:sz w:val="24"/>
              </w:rPr>
            </w:pPr>
            <w:r>
              <w:rPr>
                <w:b/>
                <w:color w:val="00B050"/>
                <w:sz w:val="24"/>
              </w:rPr>
              <w:t>abuse</w:t>
            </w:r>
          </w:p>
        </w:tc>
      </w:tr>
      <w:tr>
        <w:trPr/>
        <w:tc>
          <w:tcPr>
            <w:tcW w:w="2612"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color w:val="806000"/>
                <w:sz w:val="24"/>
              </w:rPr>
              <w:t>gender stereotypes</w:t>
            </w:r>
          </w:p>
        </w:tc>
        <w:tc>
          <w:tcPr>
            <w:tcW w:w="1726"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color w:val="806000"/>
                <w:sz w:val="24"/>
              </w:rPr>
              <w:t>homophobia</w:t>
            </w:r>
          </w:p>
        </w:tc>
        <w:tc>
          <w:tcPr>
            <w:tcW w:w="258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color w:val="806000"/>
                <w:sz w:val="24"/>
              </w:rPr>
              <w:t>cyberbullying</w:t>
            </w:r>
          </w:p>
        </w:tc>
        <w:tc>
          <w:tcPr>
            <w:tcW w:w="1735"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color w:val="806000"/>
                <w:sz w:val="24"/>
              </w:rPr>
              <w:t>conception</w:t>
            </w:r>
          </w:p>
        </w:tc>
        <w:tc>
          <w:tcPr>
            <w:tcW w:w="1742"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806000"/>
                <w:sz w:val="24"/>
              </w:rPr>
              <w:t>intercourse</w:t>
            </w:r>
          </w:p>
        </w:tc>
        <w:tc>
          <w:tcPr>
            <w:tcW w:w="173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3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before="0" w:after="120"/>
              <w:rPr>
                <w:b/>
                <w:color w:val="00B050"/>
                <w:sz w:val="24"/>
              </w:rPr>
            </w:pPr>
            <w:r>
              <w:rPr>
                <w:b/>
                <w:color w:val="00B050"/>
                <w:sz w:val="24"/>
              </w:rPr>
            </w:r>
          </w:p>
        </w:tc>
        <w:tc>
          <w:tcPr>
            <w:tcW w:w="1740" w:type="dxa"/>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color w:val="00B050"/>
                <w:sz w:val="24"/>
              </w:rPr>
              <w:t>vagina</w:t>
            </w:r>
          </w:p>
        </w:tc>
      </w:tr>
      <w:tr>
        <w:trPr/>
        <w:tc>
          <w:tcPr>
            <w:tcW w:w="4338"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bCs/>
                <w:color w:val="0070C0"/>
              </w:rPr>
              <w:t>Blue= No Outsiders</w:t>
            </w:r>
          </w:p>
        </w:tc>
        <w:tc>
          <w:tcPr>
            <w:tcW w:w="4323" w:type="dxa"/>
            <w:gridSpan w:val="4"/>
            <w:tcBorders>
              <w:top w:val="single" w:sz="4" w:space="0" w:color="000000"/>
              <w:left w:val="single" w:sz="4" w:space="0" w:color="000000"/>
              <w:bottom w:val="single" w:sz="4" w:space="0" w:color="000000"/>
              <w:right w:val="single" w:sz="4" w:space="0" w:color="000000"/>
            </w:tcBorders>
          </w:tcPr>
          <w:p>
            <w:pPr>
              <w:pStyle w:val="Normal"/>
              <w:spacing w:before="0" w:after="120"/>
              <w:rPr>
                <w:b/>
                <w:color w:val="806000"/>
                <w:sz w:val="24"/>
              </w:rPr>
            </w:pPr>
            <w:r>
              <w:rPr>
                <w:b/>
                <w:bCs/>
                <w:color w:val="FF0000"/>
              </w:rPr>
              <w:t>Red= Outside providers</w:t>
            </w:r>
          </w:p>
        </w:tc>
        <w:tc>
          <w:tcPr>
            <w:tcW w:w="347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bCs/>
                <w:color w:val="00B050"/>
              </w:rPr>
              <w:t>Green= Science curriculum</w:t>
            </w:r>
          </w:p>
        </w:tc>
        <w:tc>
          <w:tcPr>
            <w:tcW w:w="3474" w:type="dxa"/>
            <w:gridSpan w:val="3"/>
            <w:tcBorders>
              <w:top w:val="single" w:sz="4" w:space="0" w:color="000000"/>
              <w:left w:val="single" w:sz="4" w:space="0" w:color="000000"/>
              <w:bottom w:val="single" w:sz="4" w:space="0" w:color="000000"/>
              <w:right w:val="single" w:sz="4" w:space="0" w:color="000000"/>
            </w:tcBorders>
          </w:tcPr>
          <w:p>
            <w:pPr>
              <w:pStyle w:val="Normal"/>
              <w:spacing w:before="0" w:after="120"/>
              <w:rPr>
                <w:b/>
                <w:color w:val="00B050"/>
                <w:sz w:val="24"/>
              </w:rPr>
            </w:pPr>
            <w:r>
              <w:rPr>
                <w:b/>
                <w:bCs/>
                <w:color w:val="7030A0"/>
              </w:rPr>
              <w:t>Purple = other resources</w:t>
            </w:r>
          </w:p>
        </w:tc>
      </w:tr>
    </w:tbl>
    <w:p>
      <w:pPr>
        <w:pStyle w:val="Normal"/>
        <w:rPr>
          <w:b/>
          <w:bCs/>
        </w:rPr>
      </w:pPr>
      <w:r>
        <w:rPr>
          <w:b/>
          <w:bCs/>
        </w:rPr>
      </w:r>
    </w:p>
    <w:p>
      <w:pPr>
        <w:pStyle w:val="1bodycopy10pt"/>
        <w:rPr>
          <w:rFonts w:ascii="Calibri" w:hAnsi="Calibri" w:cs="Calibri"/>
          <w:b/>
          <w:bCs/>
          <w:sz w:val="24"/>
          <w:lang w:val="en-GB"/>
        </w:rPr>
      </w:pPr>
      <w:r>
        <w:rPr>
          <w:rFonts w:cs="Calibri" w:ascii="Calibri" w:hAnsi="Calibri"/>
          <w:b/>
          <w:bCs/>
          <w:sz w:val="24"/>
          <w:lang w:val="en-GB"/>
        </w:rPr>
      </w:r>
    </w:p>
    <w:p>
      <w:pPr>
        <w:pStyle w:val="1bodycopy10pt"/>
        <w:rPr>
          <w:rFonts w:ascii="Calibri" w:hAnsi="Calibri" w:cs="Calibri"/>
          <w:sz w:val="24"/>
          <w:lang w:val="en-GB"/>
        </w:rPr>
      </w:pPr>
      <w:r>
        <w:rPr>
          <w:rFonts w:cs="Calibri" w:ascii="Calibri" w:hAnsi="Calibri"/>
          <w:sz w:val="24"/>
          <w:lang w:val="en-GB"/>
        </w:rPr>
      </w:r>
    </w:p>
    <w:p>
      <w:pPr>
        <w:sectPr>
          <w:headerReference w:type="default" r:id="rId2"/>
          <w:type w:val="nextPage"/>
          <w:pgSz w:orient="landscape" w:w="16838" w:h="11906"/>
          <w:pgMar w:left="720" w:right="720" w:gutter="0" w:header="1103" w:top="1159" w:footer="0" w:bottom="720"/>
          <w:pgNumType w:fmt="decimal"/>
          <w:formProt w:val="false"/>
          <w:textDirection w:val="lrTb"/>
          <w:docGrid w:type="default" w:linePitch="360" w:charSpace="0"/>
        </w:sectPr>
        <w:pStyle w:val="1bodycopy10pt"/>
        <w:rPr>
          <w:rFonts w:ascii="Calibri" w:hAnsi="Calibri" w:cs="Calibri"/>
          <w:sz w:val="24"/>
          <w:lang w:val="en-GB"/>
        </w:rPr>
      </w:pPr>
      <w:r>
        <w:rPr>
          <w:rFonts w:cs="Calibri" w:ascii="Calibri" w:hAnsi="Calibri"/>
          <w:sz w:val="24"/>
          <w:lang w:val="en-GB"/>
        </w:rPr>
      </w:r>
    </w:p>
    <w:p>
      <w:pPr>
        <w:pStyle w:val="Heading3"/>
        <w:ind w:hanging="0" w:left="0"/>
        <w:rPr>
          <w:color w:val="000000"/>
        </w:rPr>
      </w:pPr>
      <w:r>
        <w:t>Additional curriculum expectations</w:t>
      </w:r>
    </w:p>
    <w:tbl>
      <w:tblPr>
        <w:tblW w:w="14017" w:type="dxa"/>
        <w:jc w:val="left"/>
        <w:tblInd w:w="108" w:type="dxa"/>
        <w:tblLayout w:type="fixed"/>
        <w:tblCellMar>
          <w:top w:w="113" w:type="dxa"/>
          <w:left w:w="108" w:type="dxa"/>
          <w:bottom w:w="113" w:type="dxa"/>
          <w:right w:w="108" w:type="dxa"/>
        </w:tblCellMar>
      </w:tblPr>
      <w:tblGrid>
        <w:gridCol w:w="1730"/>
        <w:gridCol w:w="12287"/>
      </w:tblGrid>
      <w:tr>
        <w:trPr>
          <w:tblHeader w:val="true"/>
          <w:cantSplit w:val="true"/>
        </w:trPr>
        <w:tc>
          <w:tcPr>
            <w:tcW w:w="1730" w:type="dxa"/>
            <w:tcBorders>
              <w:top w:val="single" w:sz="4" w:space="0" w:color="12263F"/>
              <w:left w:val="single" w:sz="4" w:space="0" w:color="12263F"/>
              <w:bottom w:val="single" w:sz="4" w:space="0" w:color="12263F"/>
              <w:right w:val="single" w:sz="4" w:space="0" w:color="F8F8F8"/>
            </w:tcBorders>
            <w:shd w:fill="12263F" w:val="clear"/>
          </w:tcPr>
          <w:p>
            <w:pPr>
              <w:pStyle w:val="1bodycopy"/>
              <w:spacing w:before="0" w:after="0"/>
              <w:ind w:firstLine="221" w:left="-221" w:right="0"/>
              <w:rPr>
                <w:caps/>
                <w:lang w:val="en-GB"/>
              </w:rPr>
            </w:pPr>
            <w:r>
              <w:rPr>
                <w:caps/>
                <w:lang w:val="en-GB"/>
              </w:rPr>
              <w:t>Topic</w:t>
            </w:r>
          </w:p>
        </w:tc>
        <w:tc>
          <w:tcPr>
            <w:tcW w:w="12287" w:type="dxa"/>
            <w:tcBorders>
              <w:top w:val="single" w:sz="4" w:space="0" w:color="12263F"/>
              <w:left w:val="single" w:sz="4" w:space="0" w:color="F8F8F8"/>
              <w:bottom w:val="single" w:sz="4" w:space="0" w:color="12263F"/>
              <w:right w:val="single" w:sz="4" w:space="0" w:color="F8F8F8"/>
            </w:tcBorders>
            <w:shd w:fill="12263F" w:val="clear"/>
            <w:tcMar>
              <w:top w:w="0" w:type="dxa"/>
              <w:bottom w:w="0" w:type="dxa"/>
            </w:tcMar>
          </w:tcPr>
          <w:p>
            <w:pPr>
              <w:pStyle w:val="1bodycopy"/>
              <w:spacing w:before="0" w:after="0"/>
              <w:rPr>
                <w:caps/>
                <w:lang w:val="en-GB"/>
              </w:rPr>
            </w:pPr>
            <w:r>
              <w:rPr>
                <w:caps/>
                <w:lang w:val="en-GB"/>
              </w:rPr>
              <w:t>Pupils should know</w:t>
            </w:r>
          </w:p>
        </w:tc>
      </w:tr>
      <w:tr>
        <w:trPr>
          <w:cantSplit w:val="true"/>
        </w:trPr>
        <w:tc>
          <w:tcPr>
            <w:tcW w:w="1730" w:type="dxa"/>
            <w:tcBorders>
              <w:top w:val="single" w:sz="4" w:space="0" w:color="B9B9B9"/>
              <w:left w:val="single" w:sz="4" w:space="0" w:color="B9B9B9"/>
              <w:bottom w:val="single" w:sz="4" w:space="0" w:color="B9B9B9"/>
              <w:right w:val="single" w:sz="4" w:space="0" w:color="B9B9B9"/>
            </w:tcBorders>
          </w:tcPr>
          <w:p>
            <w:pPr>
              <w:pStyle w:val="7Tablebodycopy"/>
              <w:rPr>
                <w:lang w:val="en-GB"/>
              </w:rPr>
            </w:pPr>
            <w:r>
              <w:rPr>
                <w:lang w:val="en-GB"/>
              </w:rPr>
              <w:t>Families and people who care about me</w:t>
            </w:r>
          </w:p>
          <w:p>
            <w:pPr>
              <w:pStyle w:val="Normal"/>
              <w:rPr>
                <w:lang w:val="en-GB"/>
              </w:rPr>
            </w:pPr>
            <w:r>
              <w:rPr>
                <w:lang w:val="en-GB"/>
              </w:rPr>
            </w:r>
          </w:p>
          <w:p>
            <w:pPr>
              <w:pStyle w:val="Normal"/>
              <w:spacing w:before="0" w:after="120"/>
              <w:rPr>
                <w:lang w:val="en-GB"/>
              </w:rPr>
            </w:pPr>
            <w:r>
              <w:rPr>
                <w:lang w:val="en-GB"/>
              </w:rPr>
            </w:r>
          </w:p>
        </w:tc>
        <w:tc>
          <w:tcPr>
            <w:tcW w:w="12287"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copybulleted"/>
              <w:numPr>
                <w:ilvl w:val="0"/>
                <w:numId w:val="4"/>
              </w:numPr>
              <w:rPr>
                <w:lang w:val="en-GB"/>
              </w:rPr>
            </w:pPr>
            <w:r>
              <w:rPr>
                <w:lang w:val="en-GB"/>
              </w:rPr>
              <w:t>That families are important for children growing up because they can give love, security and stability</w:t>
            </w:r>
          </w:p>
          <w:p>
            <w:pPr>
              <w:pStyle w:val="7Tablecopybulleted"/>
              <w:numPr>
                <w:ilvl w:val="0"/>
                <w:numId w:val="4"/>
              </w:numPr>
              <w:rPr>
                <w:lang w:val="en-GB"/>
              </w:rPr>
            </w:pPr>
            <w:r>
              <w:rPr>
                <w:lang w:val="en-GB"/>
              </w:rPr>
              <w:t xml:space="preserve">The characteristics of healthy family life, commitment to each other, including in times of difficulty, protection and care for </w:t>
            </w:r>
            <w:r>
              <w:rPr/>
              <w:t>children and other family members, the importance of spending time together and sharing each other’s lives</w:t>
            </w:r>
          </w:p>
          <w:p>
            <w:pPr>
              <w:pStyle w:val="7Tablecopybulleted"/>
              <w:numPr>
                <w:ilvl w:val="0"/>
                <w:numId w:val="4"/>
              </w:numPr>
              <w:rPr>
                <w:lang w:val="en-GB"/>
              </w:rPr>
            </w:pPr>
            <w:r>
              <w:rPr>
                <w:lang w:val="en-GB"/>
              </w:rPr>
              <w:t>That others’ families, either in school or in the wider world, sometimes look different from their family, but that they should respect those differences and know that other children’s families are also characterised by love and care</w:t>
            </w:r>
          </w:p>
          <w:p>
            <w:pPr>
              <w:pStyle w:val="7Tablecopybulleted"/>
              <w:numPr>
                <w:ilvl w:val="0"/>
                <w:numId w:val="4"/>
              </w:numPr>
              <w:rPr>
                <w:lang w:val="en-GB"/>
              </w:rPr>
            </w:pPr>
            <w:r>
              <w:rPr>
                <w:lang w:val="en-GB"/>
              </w:rPr>
              <w:t>That stable, caring relationships, which may be of different types, are at the heart of happy families, and are important for children’s security as they grow up</w:t>
            </w:r>
          </w:p>
          <w:p>
            <w:pPr>
              <w:pStyle w:val="7Tablecopybulleted"/>
              <w:numPr>
                <w:ilvl w:val="0"/>
                <w:numId w:val="4"/>
              </w:numPr>
              <w:rPr>
                <w:lang w:val="en-GB"/>
              </w:rPr>
            </w:pPr>
            <w:r>
              <w:rPr>
                <w:lang w:val="en-GB"/>
              </w:rPr>
              <w:t>That marriage represents a formal and legally recognised commitment of two people to each other which is intended to be lifelong</w:t>
            </w:r>
          </w:p>
          <w:p>
            <w:pPr>
              <w:pStyle w:val="7Tablecopybulleted"/>
              <w:numPr>
                <w:ilvl w:val="0"/>
                <w:numId w:val="4"/>
              </w:numPr>
              <w:rPr>
                <w:lang w:val="en-GB"/>
              </w:rPr>
            </w:pPr>
            <w:r>
              <w:rPr>
                <w:lang w:val="en-GB"/>
              </w:rPr>
              <w:t>How to recognise if family relationships are making them feel unhappy or unsafe, and how to seek help or advice from others if needed</w:t>
            </w:r>
          </w:p>
          <w:p>
            <w:pPr>
              <w:pStyle w:val="Normal"/>
              <w:spacing w:before="0" w:after="120"/>
              <w:rPr>
                <w:lang w:val="en-GB"/>
              </w:rPr>
            </w:pPr>
            <w:r>
              <w:rPr>
                <w:lang w:val="en-GB"/>
              </w:rPr>
            </w:r>
          </w:p>
        </w:tc>
      </w:tr>
      <w:tr>
        <w:trPr>
          <w:cantSplit w:val="true"/>
        </w:trPr>
        <w:tc>
          <w:tcPr>
            <w:tcW w:w="1730" w:type="dxa"/>
            <w:tcBorders>
              <w:top w:val="single" w:sz="4" w:space="0" w:color="B9B9B9"/>
              <w:left w:val="single" w:sz="4" w:space="0" w:color="B9B9B9"/>
              <w:bottom w:val="single" w:sz="4" w:space="0" w:color="B9B9B9"/>
              <w:right w:val="single" w:sz="4" w:space="0" w:color="B9B9B9"/>
            </w:tcBorders>
          </w:tcPr>
          <w:p>
            <w:pPr>
              <w:pStyle w:val="7Tablebodycopy"/>
              <w:rPr>
                <w:lang w:val="en-GB"/>
              </w:rPr>
            </w:pPr>
            <w:r>
              <w:rPr>
                <w:lang w:val="en-GB"/>
              </w:rPr>
              <w:t>Caring friendships</w:t>
            </w:r>
          </w:p>
          <w:p>
            <w:pPr>
              <w:pStyle w:val="Normal"/>
              <w:rPr>
                <w:lang w:val="en-GB"/>
              </w:rPr>
            </w:pPr>
            <w:r>
              <w:rPr>
                <w:lang w:val="en-GB"/>
              </w:rPr>
            </w:r>
          </w:p>
          <w:p>
            <w:pPr>
              <w:pStyle w:val="Normal"/>
              <w:spacing w:before="0" w:after="120"/>
              <w:rPr>
                <w:lang w:val="en-GB"/>
              </w:rPr>
            </w:pPr>
            <w:r>
              <w:rPr>
                <w:lang w:val="en-GB"/>
              </w:rPr>
            </w:r>
          </w:p>
        </w:tc>
        <w:tc>
          <w:tcPr>
            <w:tcW w:w="12287"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copybulleted"/>
              <w:numPr>
                <w:ilvl w:val="0"/>
                <w:numId w:val="4"/>
              </w:numPr>
              <w:rPr>
                <w:lang w:val="en-GB"/>
              </w:rPr>
            </w:pPr>
            <w:r>
              <w:rPr>
                <w:lang w:val="en-GB"/>
              </w:rPr>
              <w:t>How important friendships are in making us feel happy and secure, and how people choose and make friends</w:t>
            </w:r>
          </w:p>
          <w:p>
            <w:pPr>
              <w:pStyle w:val="7Tablecopybulleted"/>
              <w:numPr>
                <w:ilvl w:val="0"/>
                <w:numId w:val="4"/>
              </w:numPr>
              <w:rPr>
                <w:lang w:val="en-GB"/>
              </w:rPr>
            </w:pPr>
            <w:r>
              <w:rPr>
                <w:lang w:val="en-GB"/>
              </w:rPr>
              <w:t>The characteristics of friendships, including mutual respect, truthfulness, trustworthiness, loyalty, kindness, generosity, trust, sharing interests and experiences and support with problems and difficulties</w:t>
            </w:r>
          </w:p>
          <w:p>
            <w:pPr>
              <w:pStyle w:val="7Tablecopybulleted"/>
              <w:numPr>
                <w:ilvl w:val="0"/>
                <w:numId w:val="4"/>
              </w:numPr>
              <w:rPr>
                <w:lang w:val="en-GB"/>
              </w:rPr>
            </w:pPr>
            <w:r>
              <w:rPr>
                <w:lang w:val="en-GB"/>
              </w:rPr>
              <w:t>That healthy friendships are positive and welcoming towards others, and do not make others feel lonely or excluded</w:t>
            </w:r>
          </w:p>
          <w:p>
            <w:pPr>
              <w:pStyle w:val="7Tablecopybulleted"/>
              <w:numPr>
                <w:ilvl w:val="0"/>
                <w:numId w:val="4"/>
              </w:numPr>
              <w:rPr>
                <w:lang w:val="en-GB"/>
              </w:rPr>
            </w:pPr>
            <w:r>
              <w:rPr>
                <w:lang w:val="en-GB"/>
              </w:rPr>
              <w:t>That most friendships have ups and downs, and that these can often be worked through so that the friendship is repaired or even strengthened, and that resorting to violence is never right</w:t>
            </w:r>
          </w:p>
          <w:p>
            <w:pPr>
              <w:pStyle w:val="7Tablecopybulleted"/>
              <w:numPr>
                <w:ilvl w:val="0"/>
                <w:numId w:val="4"/>
              </w:numPr>
              <w:rPr>
                <w:lang w:val="en-GB"/>
              </w:rPr>
            </w:pPr>
            <w:r>
              <w:rPr>
                <w:lang w:val="en-GB"/>
              </w:rPr>
              <w:t>How to recognise who to trust and who not to trust, how to judge when a friendship is making them feel unhappy or uncomfortable, managing conflict, how to manage these situations and how to seek help or advice from others, if needed</w:t>
            </w:r>
          </w:p>
          <w:p>
            <w:pPr>
              <w:pStyle w:val="Normal"/>
              <w:rPr>
                <w:lang w:val="en-GB"/>
              </w:rPr>
            </w:pPr>
            <w:r>
              <w:rPr>
                <w:lang w:val="en-GB"/>
              </w:rPr>
            </w:r>
          </w:p>
          <w:p>
            <w:pPr>
              <w:pStyle w:val="Normal"/>
              <w:spacing w:before="0" w:after="120"/>
              <w:rPr>
                <w:lang w:val="en-GB"/>
              </w:rPr>
            </w:pPr>
            <w:r>
              <w:rPr>
                <w:lang w:val="en-GB"/>
              </w:rPr>
            </w:r>
          </w:p>
        </w:tc>
      </w:tr>
      <w:tr>
        <w:trPr>
          <w:cantSplit w:val="true"/>
        </w:trPr>
        <w:tc>
          <w:tcPr>
            <w:tcW w:w="173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lang w:val="en-GB"/>
              </w:rPr>
            </w:pPr>
            <w:r>
              <w:rPr>
                <w:lang w:val="en-GB"/>
              </w:rPr>
              <w:t>Respectful relationships</w:t>
            </w:r>
          </w:p>
        </w:tc>
        <w:tc>
          <w:tcPr>
            <w:tcW w:w="12287"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copybulleted"/>
              <w:numPr>
                <w:ilvl w:val="0"/>
                <w:numId w:val="4"/>
              </w:numPr>
              <w:rPr/>
            </w:pPr>
            <w:r>
              <w:rPr/>
              <w:t>The importance of respecting others, even when they are very different from them (for example, physically, in character, personality or backgrounds), or make different choices or have different preferences or beliefs</w:t>
            </w:r>
          </w:p>
          <w:p>
            <w:pPr>
              <w:pStyle w:val="7Tablecopybulleted"/>
              <w:numPr>
                <w:ilvl w:val="0"/>
                <w:numId w:val="4"/>
              </w:numPr>
              <w:rPr/>
            </w:pPr>
            <w:r>
              <w:rPr/>
              <w:t>Practical steps they can take in a range of different contexts to improve or support respectful relationships</w:t>
            </w:r>
          </w:p>
          <w:p>
            <w:pPr>
              <w:pStyle w:val="7Tablecopybulleted"/>
              <w:numPr>
                <w:ilvl w:val="0"/>
                <w:numId w:val="4"/>
              </w:numPr>
              <w:rPr/>
            </w:pPr>
            <w:r>
              <w:rPr/>
              <w:t>The conventions of courtesy and manners</w:t>
            </w:r>
          </w:p>
          <w:p>
            <w:pPr>
              <w:pStyle w:val="7Tablecopybulleted"/>
              <w:numPr>
                <w:ilvl w:val="0"/>
                <w:numId w:val="4"/>
              </w:numPr>
              <w:rPr/>
            </w:pPr>
            <w:r>
              <w:rPr/>
              <w:t>The importance of self-respect and how this links to their own happiness</w:t>
            </w:r>
          </w:p>
          <w:p>
            <w:pPr>
              <w:pStyle w:val="7Tablecopybulleted"/>
              <w:numPr>
                <w:ilvl w:val="0"/>
                <w:numId w:val="4"/>
              </w:numPr>
              <w:rPr/>
            </w:pPr>
            <w:r>
              <w:rPr/>
              <w:t>That in school and in wider society they can expect to be treated with respect by others, and that in turn they should show due respect to others, including those in positions of authority</w:t>
            </w:r>
          </w:p>
          <w:p>
            <w:pPr>
              <w:pStyle w:val="7Tablecopybulleted"/>
              <w:numPr>
                <w:ilvl w:val="0"/>
                <w:numId w:val="4"/>
              </w:numPr>
              <w:rPr>
                <w:lang w:val="en-GB"/>
              </w:rPr>
            </w:pPr>
            <w:r>
              <w:rPr>
                <w:lang w:val="en-GB"/>
              </w:rPr>
              <w:t>About different types of bullying (including cyberbullying), the impact of bullying, responsibilities of bystanders (primarily reporting bullying to an adult) and how to get help</w:t>
            </w:r>
          </w:p>
          <w:p>
            <w:pPr>
              <w:pStyle w:val="7Tablecopybulleted"/>
              <w:numPr>
                <w:ilvl w:val="0"/>
                <w:numId w:val="4"/>
              </w:numPr>
              <w:rPr>
                <w:lang w:val="en-GB"/>
              </w:rPr>
            </w:pPr>
            <w:r>
              <w:rPr>
                <w:lang w:val="en-GB"/>
              </w:rPr>
              <w:t>What a stereotype is, and how stereotypes can be unfair, negative or destructive</w:t>
            </w:r>
          </w:p>
          <w:p>
            <w:pPr>
              <w:pStyle w:val="7Tablecopybulleted"/>
              <w:numPr>
                <w:ilvl w:val="0"/>
                <w:numId w:val="4"/>
              </w:numPr>
              <w:spacing w:before="0" w:after="60"/>
              <w:rPr>
                <w:lang w:val="en-GB"/>
              </w:rPr>
            </w:pPr>
            <w:r>
              <w:rPr>
                <w:lang w:val="en-GB"/>
              </w:rPr>
              <w:t>The importance of permission-seeking and giving in relationships with friends, peers and adults</w:t>
            </w:r>
          </w:p>
        </w:tc>
      </w:tr>
      <w:tr>
        <w:trPr>
          <w:cantSplit w:val="true"/>
        </w:trPr>
        <w:tc>
          <w:tcPr>
            <w:tcW w:w="173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lang w:val="en-GB"/>
              </w:rPr>
            </w:pPr>
            <w:r>
              <w:rPr>
                <w:lang w:val="en-GB"/>
              </w:rPr>
              <w:t>Online relationships</w:t>
            </w:r>
          </w:p>
        </w:tc>
        <w:tc>
          <w:tcPr>
            <w:tcW w:w="12287"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copybulleted"/>
              <w:numPr>
                <w:ilvl w:val="0"/>
                <w:numId w:val="4"/>
              </w:numPr>
              <w:rPr>
                <w:lang w:val="en-GB"/>
              </w:rPr>
            </w:pPr>
            <w:r>
              <w:rPr>
                <w:lang w:val="en-GB"/>
              </w:rPr>
              <w:t>That people sometimes behave differently online, including by pretending to be someone they are not</w:t>
            </w:r>
          </w:p>
          <w:p>
            <w:pPr>
              <w:pStyle w:val="7Tablecopybulleted"/>
              <w:numPr>
                <w:ilvl w:val="0"/>
                <w:numId w:val="4"/>
              </w:numPr>
              <w:rPr>
                <w:lang w:val="en-GB"/>
              </w:rPr>
            </w:pPr>
            <w:r>
              <w:rPr>
                <w:lang w:val="en-GB"/>
              </w:rPr>
              <w:t>That the same principles apply to online relationships as to face-to face relationships, including the importance of respect for others online including when we are anonymous</w:t>
            </w:r>
          </w:p>
          <w:p>
            <w:pPr>
              <w:pStyle w:val="7Tablecopybulleted"/>
              <w:numPr>
                <w:ilvl w:val="0"/>
                <w:numId w:val="4"/>
              </w:numPr>
              <w:rPr>
                <w:lang w:val="en-GB"/>
              </w:rPr>
            </w:pPr>
            <w:r>
              <w:rPr>
                <w:lang w:val="en-GB"/>
              </w:rPr>
              <w:t>The rules and principles for keeping safe online, how to recognise risks, harmful content and contact, and how to report them</w:t>
            </w:r>
          </w:p>
          <w:p>
            <w:pPr>
              <w:pStyle w:val="7Tablecopybulleted"/>
              <w:numPr>
                <w:ilvl w:val="0"/>
                <w:numId w:val="4"/>
              </w:numPr>
              <w:rPr>
                <w:lang w:val="en-GB"/>
              </w:rPr>
            </w:pPr>
            <w:r>
              <w:rPr>
                <w:lang w:val="en-GB"/>
              </w:rPr>
              <w:t>How to critically consider their online friendships and sources of information including awareness of the risks associated with people they have never met</w:t>
            </w:r>
          </w:p>
          <w:p>
            <w:pPr>
              <w:pStyle w:val="7Tablecopybulleted"/>
              <w:numPr>
                <w:ilvl w:val="0"/>
                <w:numId w:val="4"/>
              </w:numPr>
              <w:spacing w:before="0" w:after="60"/>
              <w:rPr>
                <w:lang w:val="en-GB"/>
              </w:rPr>
            </w:pPr>
            <w:r>
              <w:rPr>
                <w:lang w:val="en-GB"/>
              </w:rPr>
              <w:t>How information and data is shared and used online</w:t>
            </w:r>
          </w:p>
        </w:tc>
      </w:tr>
      <w:tr>
        <w:trPr>
          <w:cantSplit w:val="true"/>
        </w:trPr>
        <w:tc>
          <w:tcPr>
            <w:tcW w:w="173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lang w:val="en-GB"/>
              </w:rPr>
            </w:pPr>
            <w:r>
              <w:rPr>
                <w:lang w:val="en-GB"/>
              </w:rPr>
              <w:t>Being safe</w:t>
            </w:r>
          </w:p>
        </w:tc>
        <w:tc>
          <w:tcPr>
            <w:tcW w:w="12287"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copybulleted"/>
              <w:numPr>
                <w:ilvl w:val="0"/>
                <w:numId w:val="4"/>
              </w:numPr>
              <w:rPr>
                <w:lang w:val="en-GB"/>
              </w:rPr>
            </w:pPr>
            <w:r>
              <w:rPr>
                <w:lang w:val="en-GB"/>
              </w:rPr>
              <w:t>What sorts of boundaries are appropriate in friendships with peers and others (including in a digital context)</w:t>
            </w:r>
          </w:p>
          <w:p>
            <w:pPr>
              <w:pStyle w:val="7Tablecopybulleted"/>
              <w:numPr>
                <w:ilvl w:val="0"/>
                <w:numId w:val="4"/>
              </w:numPr>
              <w:rPr>
                <w:lang w:val="en-GB"/>
              </w:rPr>
            </w:pPr>
            <w:r>
              <w:rPr>
                <w:lang w:val="en-GB"/>
              </w:rPr>
              <w:t xml:space="preserve">About the </w:t>
            </w:r>
            <w:r>
              <w:rPr/>
              <w:t>concept</w:t>
            </w:r>
            <w:r>
              <w:rPr>
                <w:lang w:val="en-GB"/>
              </w:rPr>
              <w:t xml:space="preserve"> of privacy and the implications of it for both children and adults; including that it is not always right to keep secrets if they relate to being safe</w:t>
            </w:r>
          </w:p>
          <w:p>
            <w:pPr>
              <w:pStyle w:val="7Tablecopybulleted"/>
              <w:numPr>
                <w:ilvl w:val="0"/>
                <w:numId w:val="4"/>
              </w:numPr>
              <w:rPr>
                <w:lang w:val="en-GB"/>
              </w:rPr>
            </w:pPr>
            <w:r>
              <w:rPr>
                <w:lang w:val="en-GB"/>
              </w:rPr>
              <w:t>That each person’s body belongs to them, and the differences between appropriate and inappropriate or unsafe physical, and other, contact</w:t>
            </w:r>
          </w:p>
          <w:p>
            <w:pPr>
              <w:pStyle w:val="7Tablecopybulleted"/>
              <w:numPr>
                <w:ilvl w:val="0"/>
                <w:numId w:val="4"/>
              </w:numPr>
              <w:rPr>
                <w:lang w:val="en-GB"/>
              </w:rPr>
            </w:pPr>
            <w:r>
              <w:rPr>
                <w:lang w:val="en-GB"/>
              </w:rPr>
              <w:t>How to respond safely and appropriately to adults they may encounter (in all contexts, including online) whom they do not know</w:t>
            </w:r>
          </w:p>
          <w:p>
            <w:pPr>
              <w:pStyle w:val="7Tablecopybulleted"/>
              <w:numPr>
                <w:ilvl w:val="0"/>
                <w:numId w:val="4"/>
              </w:numPr>
              <w:rPr>
                <w:lang w:val="en-GB"/>
              </w:rPr>
            </w:pPr>
            <w:r>
              <w:rPr>
                <w:lang w:val="en-GB"/>
              </w:rPr>
              <w:t>How to recognise and report feelings of being unsafe or feeling bad about any adult</w:t>
            </w:r>
          </w:p>
          <w:p>
            <w:pPr>
              <w:pStyle w:val="7Tablecopybulleted"/>
              <w:numPr>
                <w:ilvl w:val="0"/>
                <w:numId w:val="4"/>
              </w:numPr>
              <w:rPr>
                <w:lang w:val="en-GB"/>
              </w:rPr>
            </w:pPr>
            <w:r>
              <w:rPr>
                <w:lang w:val="en-GB"/>
              </w:rPr>
              <w:t>How to ask for advice or help for themselves or others, and to keep trying until they are heard</w:t>
            </w:r>
          </w:p>
          <w:p>
            <w:pPr>
              <w:pStyle w:val="7Tablecopybulleted"/>
              <w:numPr>
                <w:ilvl w:val="0"/>
                <w:numId w:val="4"/>
              </w:numPr>
              <w:rPr>
                <w:lang w:val="en-GB"/>
              </w:rPr>
            </w:pPr>
            <w:r>
              <w:rPr>
                <w:lang w:val="en-GB"/>
              </w:rPr>
              <w:t>How to report concerns or abuse, and the vocabulary and confidence needed to do so</w:t>
            </w:r>
          </w:p>
          <w:p>
            <w:pPr>
              <w:pStyle w:val="7Tablecopybulleted"/>
              <w:numPr>
                <w:ilvl w:val="0"/>
                <w:numId w:val="4"/>
              </w:numPr>
              <w:spacing w:before="0" w:after="60"/>
              <w:rPr>
                <w:lang w:val="en-GB"/>
              </w:rPr>
            </w:pPr>
            <w:r>
              <w:rPr>
                <w:lang w:val="en-GB"/>
              </w:rPr>
              <w:t>Where to get advice e.g. family, school and/or other sources</w:t>
            </w:r>
          </w:p>
        </w:tc>
      </w:tr>
    </w:tbl>
    <w:p>
      <w:pPr>
        <w:sectPr>
          <w:headerReference w:type="default" r:id="rId3"/>
          <w:headerReference w:type="first" r:id="rId4"/>
          <w:type w:val="nextPage"/>
          <w:pgSz w:orient="landscape" w:w="16838" w:h="11906"/>
          <w:pgMar w:left="1699" w:right="994" w:gutter="0" w:header="562" w:top="1815" w:footer="0" w:bottom="1080"/>
          <w:pgNumType w:fmt="decimal"/>
          <w:formProt w:val="false"/>
          <w:titlePg/>
          <w:textDirection w:val="lrTb"/>
          <w:docGrid w:type="default" w:linePitch="360" w:charSpace="0"/>
        </w:sectPr>
      </w:pPr>
    </w:p>
    <w:p>
      <w:pPr>
        <w:pStyle w:val="Heading3"/>
        <w:ind w:hanging="0" w:left="0"/>
        <w:rPr>
          <w:color w:val="000000"/>
        </w:rPr>
      </w:pPr>
      <w:r>
        <w:t>Parent withdrawal form</w:t>
      </w:r>
    </w:p>
    <w:p>
      <w:pPr>
        <w:pStyle w:val="1bodycopy10pt"/>
        <w:rPr>
          <w:color w:val="000000"/>
        </w:rPr>
      </w:pPr>
      <w:r>
        <w:rPr>
          <w:color w:val="000000"/>
        </w:rPr>
      </w:r>
    </w:p>
    <w:tbl>
      <w:tblPr>
        <w:tblW w:w="9720" w:type="dxa"/>
        <w:jc w:val="left"/>
        <w:tblInd w:w="108" w:type="dxa"/>
        <w:tblLayout w:type="fixed"/>
        <w:tblCellMar>
          <w:top w:w="113" w:type="dxa"/>
          <w:left w:w="108" w:type="dxa"/>
          <w:bottom w:w="113" w:type="dxa"/>
          <w:right w:w="108" w:type="dxa"/>
        </w:tblCellMar>
      </w:tblPr>
      <w:tblGrid>
        <w:gridCol w:w="1710"/>
        <w:gridCol w:w="2670"/>
        <w:gridCol w:w="1056"/>
        <w:gridCol w:w="4284"/>
      </w:tblGrid>
      <w:tr>
        <w:trPr>
          <w:tblHeader w:val="true"/>
          <w:cantSplit w:val="true"/>
        </w:trPr>
        <w:tc>
          <w:tcPr>
            <w:tcW w:w="9720" w:type="dxa"/>
            <w:gridSpan w:val="4"/>
            <w:tcBorders>
              <w:top w:val="single" w:sz="4" w:space="0" w:color="12263F"/>
              <w:left w:val="single" w:sz="4" w:space="0" w:color="12263F"/>
              <w:bottom w:val="single" w:sz="4" w:space="0" w:color="12263F"/>
              <w:right w:val="single" w:sz="4" w:space="0" w:color="12263F"/>
            </w:tcBorders>
            <w:shd w:fill="12263F" w:val="clear"/>
          </w:tcPr>
          <w:p>
            <w:pPr>
              <w:pStyle w:val="1bodycopy"/>
              <w:spacing w:before="0" w:after="0"/>
              <w:contextualSpacing/>
              <w:rPr/>
            </w:pPr>
            <w:r>
              <w:rPr>
                <w:caps/>
              </w:rPr>
              <w:t>To be completed by parents</w:t>
            </w:r>
          </w:p>
        </w:tc>
      </w:tr>
      <w:tr>
        <w:trPr/>
        <w:tc>
          <w:tcPr>
            <w:tcW w:w="171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Name of child</w:t>
            </w:r>
          </w:p>
        </w:tc>
        <w:tc>
          <w:tcPr>
            <w:tcW w:w="2670" w:type="dxa"/>
            <w:tcBorders>
              <w:top w:val="single" w:sz="4" w:space="0" w:color="B9B9B9"/>
              <w:left w:val="single" w:sz="4" w:space="0" w:color="B9B9B9"/>
              <w:bottom w:val="single" w:sz="4" w:space="0" w:color="B9B9B9"/>
              <w:right w:val="single" w:sz="4" w:space="0" w:color="B9B9B9"/>
            </w:tcBorders>
          </w:tcPr>
          <w:p>
            <w:pPr>
              <w:pStyle w:val="7Tablebodybulleted"/>
              <w:numPr>
                <w:ilvl w:val="0"/>
                <w:numId w:val="0"/>
              </w:numPr>
              <w:snapToGrid w:val="false"/>
              <w:spacing w:before="0" w:after="120"/>
              <w:ind w:hanging="0" w:left="0"/>
              <w:rPr/>
            </w:pPr>
            <w:r>
              <w:rPr/>
            </w:r>
          </w:p>
        </w:tc>
        <w:tc>
          <w:tcPr>
            <w:tcW w:w="1056"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bodybulleted"/>
              <w:numPr>
                <w:ilvl w:val="0"/>
                <w:numId w:val="0"/>
              </w:numPr>
              <w:spacing w:before="0" w:after="120"/>
              <w:ind w:hanging="0" w:left="0"/>
              <w:rPr/>
            </w:pPr>
            <w:r>
              <w:rPr/>
              <w:t>Class</w:t>
            </w:r>
          </w:p>
        </w:tc>
        <w:tc>
          <w:tcPr>
            <w:tcW w:w="428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bodybulleted"/>
              <w:numPr>
                <w:ilvl w:val="0"/>
                <w:numId w:val="0"/>
              </w:numPr>
              <w:snapToGrid w:val="false"/>
              <w:spacing w:before="0" w:after="120"/>
              <w:ind w:hanging="0" w:left="0"/>
              <w:rPr/>
            </w:pPr>
            <w:r>
              <w:rPr/>
            </w:r>
          </w:p>
        </w:tc>
      </w:tr>
      <w:tr>
        <w:trPr/>
        <w:tc>
          <w:tcPr>
            <w:tcW w:w="171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Name of parent</w:t>
            </w:r>
          </w:p>
        </w:tc>
        <w:tc>
          <w:tcPr>
            <w:tcW w:w="2670" w:type="dxa"/>
            <w:tcBorders>
              <w:top w:val="single" w:sz="4" w:space="0" w:color="B9B9B9"/>
              <w:left w:val="single" w:sz="4" w:space="0" w:color="B9B9B9"/>
              <w:bottom w:val="single" w:sz="4" w:space="0" w:color="B9B9B9"/>
              <w:right w:val="single" w:sz="4" w:space="0" w:color="B9B9B9"/>
            </w:tcBorders>
          </w:tcPr>
          <w:p>
            <w:pPr>
              <w:pStyle w:val="7Tablebodybulleted"/>
              <w:numPr>
                <w:ilvl w:val="0"/>
                <w:numId w:val="0"/>
              </w:numPr>
              <w:snapToGrid w:val="false"/>
              <w:spacing w:before="0" w:after="120"/>
              <w:ind w:hanging="0" w:left="0"/>
              <w:rPr/>
            </w:pPr>
            <w:r>
              <w:rPr/>
            </w:r>
          </w:p>
        </w:tc>
        <w:tc>
          <w:tcPr>
            <w:tcW w:w="1056"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bodybulleted"/>
              <w:numPr>
                <w:ilvl w:val="0"/>
                <w:numId w:val="0"/>
              </w:numPr>
              <w:spacing w:before="0" w:after="120"/>
              <w:ind w:hanging="0" w:left="0"/>
              <w:rPr/>
            </w:pPr>
            <w:r>
              <w:rPr/>
              <w:t>Date</w:t>
            </w:r>
          </w:p>
        </w:tc>
        <w:tc>
          <w:tcPr>
            <w:tcW w:w="428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bodybulleted"/>
              <w:numPr>
                <w:ilvl w:val="0"/>
                <w:numId w:val="0"/>
              </w:numPr>
              <w:snapToGrid w:val="false"/>
              <w:spacing w:before="0" w:after="120"/>
              <w:ind w:hanging="0" w:left="0"/>
              <w:rPr/>
            </w:pPr>
            <w:r>
              <w:rPr/>
            </w:r>
          </w:p>
        </w:tc>
      </w:tr>
      <w:tr>
        <w:trPr/>
        <w:tc>
          <w:tcPr>
            <w:tcW w:w="9720" w:type="dxa"/>
            <w:gridSpan w:val="4"/>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Reason for withdrawing from sex education within relationships and sex education</w:t>
            </w:r>
          </w:p>
        </w:tc>
      </w:tr>
      <w:tr>
        <w:trPr/>
        <w:tc>
          <w:tcPr>
            <w:tcW w:w="9720" w:type="dxa"/>
            <w:gridSpan w:val="4"/>
            <w:tcBorders>
              <w:top w:val="single" w:sz="4" w:space="0" w:color="B9B9B9"/>
              <w:left w:val="single" w:sz="4" w:space="0" w:color="B9B9B9"/>
              <w:bottom w:val="single" w:sz="4" w:space="0" w:color="B9B9B9"/>
              <w:right w:val="single" w:sz="4" w:space="0" w:color="B9B9B9"/>
            </w:tcBorders>
          </w:tcPr>
          <w:p>
            <w:pPr>
              <w:pStyle w:val="7Tablebodycopy"/>
              <w:snapToGrid w:val="false"/>
              <w:rPr/>
            </w:pPr>
            <w:r>
              <w:rPr/>
            </w:r>
          </w:p>
          <w:p>
            <w:pPr>
              <w:pStyle w:val="7Tablebodycopy"/>
              <w:rPr/>
            </w:pPr>
            <w:r>
              <w:rPr/>
            </w:r>
          </w:p>
          <w:p>
            <w:pPr>
              <w:pStyle w:val="7Tablebodycopy"/>
              <w:rPr/>
            </w:pPr>
            <w:r>
              <w:rPr/>
            </w:r>
          </w:p>
          <w:p>
            <w:pPr>
              <w:pStyle w:val="7Tablebodycopy"/>
              <w:rPr/>
            </w:pPr>
            <w:r>
              <w:rPr/>
            </w:r>
          </w:p>
          <w:p>
            <w:pPr>
              <w:pStyle w:val="7Tablebodycopy"/>
              <w:rPr/>
            </w:pPr>
            <w:r>
              <w:rPr/>
            </w:r>
          </w:p>
          <w:p>
            <w:pPr>
              <w:pStyle w:val="7Tablebodycopy"/>
              <w:rPr/>
            </w:pPr>
            <w:r>
              <w:rPr/>
            </w:r>
          </w:p>
          <w:p>
            <w:pPr>
              <w:pStyle w:val="7Tablebodycopy"/>
              <w:rPr/>
            </w:pPr>
            <w:r>
              <w:rPr/>
            </w:r>
          </w:p>
          <w:p>
            <w:pPr>
              <w:pStyle w:val="7Tablebodycopy"/>
              <w:rPr/>
            </w:pPr>
            <w:r>
              <w:rPr/>
            </w:r>
          </w:p>
          <w:p>
            <w:pPr>
              <w:pStyle w:val="7Tablebodycopy"/>
              <w:spacing w:before="0" w:after="60"/>
              <w:rPr/>
            </w:pPr>
            <w:r>
              <w:rPr/>
            </w:r>
          </w:p>
        </w:tc>
      </w:tr>
      <w:tr>
        <w:trPr/>
        <w:tc>
          <w:tcPr>
            <w:tcW w:w="9720" w:type="dxa"/>
            <w:gridSpan w:val="4"/>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Any other information you would like the school to consider</w:t>
            </w:r>
          </w:p>
        </w:tc>
      </w:tr>
      <w:tr>
        <w:trPr/>
        <w:tc>
          <w:tcPr>
            <w:tcW w:w="9720" w:type="dxa"/>
            <w:gridSpan w:val="4"/>
            <w:tcBorders>
              <w:top w:val="single" w:sz="4" w:space="0" w:color="B9B9B9"/>
              <w:left w:val="single" w:sz="4" w:space="0" w:color="B9B9B9"/>
              <w:bottom w:val="single" w:sz="4" w:space="0" w:color="B9B9B9"/>
              <w:right w:val="single" w:sz="4" w:space="0" w:color="B9B9B9"/>
            </w:tcBorders>
          </w:tcPr>
          <w:p>
            <w:pPr>
              <w:pStyle w:val="7Tablebodycopy"/>
              <w:snapToGrid w:val="false"/>
              <w:rPr/>
            </w:pPr>
            <w:r>
              <w:rPr/>
            </w:r>
          </w:p>
          <w:p>
            <w:pPr>
              <w:pStyle w:val="7Tablebodycopy"/>
              <w:rPr/>
            </w:pPr>
            <w:r>
              <w:rPr/>
            </w:r>
          </w:p>
          <w:p>
            <w:pPr>
              <w:pStyle w:val="7Tablebodycopy"/>
              <w:rPr/>
            </w:pPr>
            <w:r>
              <w:rPr/>
            </w:r>
          </w:p>
          <w:p>
            <w:pPr>
              <w:pStyle w:val="7Tablebodycopy"/>
              <w:spacing w:before="0" w:after="60"/>
              <w:rPr/>
            </w:pPr>
            <w:r>
              <w:rPr/>
            </w:r>
          </w:p>
        </w:tc>
      </w:tr>
      <w:tr>
        <w:trPr/>
        <w:tc>
          <w:tcPr>
            <w:tcW w:w="1710"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Parent signature</w:t>
            </w:r>
          </w:p>
        </w:tc>
        <w:tc>
          <w:tcPr>
            <w:tcW w:w="8010" w:type="dxa"/>
            <w:gridSpan w:val="3"/>
            <w:tcBorders>
              <w:top w:val="single" w:sz="4" w:space="0" w:color="B9B9B9"/>
              <w:left w:val="single" w:sz="4" w:space="0" w:color="B9B9B9"/>
              <w:bottom w:val="single" w:sz="4" w:space="0" w:color="B9B9B9"/>
              <w:right w:val="single" w:sz="4" w:space="0" w:color="B9B9B9"/>
            </w:tcBorders>
            <w:tcMar>
              <w:top w:w="0" w:type="dxa"/>
              <w:bottom w:w="0" w:type="dxa"/>
            </w:tcMar>
          </w:tcPr>
          <w:p>
            <w:pPr>
              <w:pStyle w:val="7Tablebodycopy"/>
              <w:snapToGrid w:val="false"/>
              <w:spacing w:before="0" w:after="60"/>
              <w:rPr/>
            </w:pPr>
            <w:r>
              <w:rPr/>
            </w:r>
          </w:p>
        </w:tc>
      </w:tr>
    </w:tbl>
    <w:p>
      <w:pPr>
        <w:pStyle w:val="1bodycopy10pt"/>
        <w:rPr/>
      </w:pPr>
      <w:r>
        <w:rPr/>
      </w:r>
    </w:p>
    <w:tbl>
      <w:tblPr>
        <w:tblW w:w="9720" w:type="dxa"/>
        <w:jc w:val="left"/>
        <w:tblInd w:w="108" w:type="dxa"/>
        <w:tblLayout w:type="fixed"/>
        <w:tblCellMar>
          <w:top w:w="113" w:type="dxa"/>
          <w:left w:w="108" w:type="dxa"/>
          <w:bottom w:w="113" w:type="dxa"/>
          <w:right w:w="108" w:type="dxa"/>
        </w:tblCellMar>
      </w:tblPr>
      <w:tblGrid>
        <w:gridCol w:w="1701"/>
        <w:gridCol w:w="8019"/>
      </w:tblGrid>
      <w:tr>
        <w:trPr>
          <w:tblHeader w:val="true"/>
          <w:cantSplit w:val="true"/>
        </w:trPr>
        <w:tc>
          <w:tcPr>
            <w:tcW w:w="9720" w:type="dxa"/>
            <w:gridSpan w:val="2"/>
            <w:tcBorders>
              <w:top w:val="single" w:sz="4" w:space="0" w:color="12263F"/>
              <w:left w:val="single" w:sz="4" w:space="0" w:color="12263F"/>
              <w:bottom w:val="single" w:sz="4" w:space="0" w:color="12263F"/>
              <w:right w:val="single" w:sz="4" w:space="0" w:color="12263F"/>
            </w:tcBorders>
            <w:shd w:fill="12263F" w:val="clear"/>
          </w:tcPr>
          <w:p>
            <w:pPr>
              <w:pStyle w:val="1bodycopy"/>
              <w:spacing w:before="0" w:after="0"/>
              <w:contextualSpacing/>
              <w:rPr>
                <w:caps/>
              </w:rPr>
            </w:pPr>
            <w:r>
              <w:rPr>
                <w:caps/>
              </w:rPr>
              <w:t>To be completed by the school</w:t>
            </w:r>
          </w:p>
        </w:tc>
      </w:tr>
      <w:tr>
        <w:trPr/>
        <w:tc>
          <w:tcPr>
            <w:tcW w:w="1701" w:type="dxa"/>
            <w:tcBorders>
              <w:top w:val="single" w:sz="4" w:space="0" w:color="B9B9B9"/>
              <w:left w:val="single" w:sz="4" w:space="0" w:color="B9B9B9"/>
              <w:bottom w:val="single" w:sz="4" w:space="0" w:color="B9B9B9"/>
              <w:right w:val="single" w:sz="4" w:space="0" w:color="B9B9B9"/>
            </w:tcBorders>
          </w:tcPr>
          <w:p>
            <w:pPr>
              <w:pStyle w:val="7Tablebodycopy"/>
              <w:spacing w:before="0" w:after="60"/>
              <w:rPr/>
            </w:pPr>
            <w:r>
              <w:rPr/>
              <w:t>Agreed actions from discussion with parents</w:t>
            </w:r>
          </w:p>
        </w:tc>
        <w:tc>
          <w:tcPr>
            <w:tcW w:w="8019" w:type="dxa"/>
            <w:tcBorders>
              <w:top w:val="single" w:sz="4" w:space="0" w:color="B9B9B9"/>
              <w:left w:val="single" w:sz="4" w:space="0" w:color="B9B9B9"/>
              <w:bottom w:val="single" w:sz="4" w:space="0" w:color="B9B9B9"/>
              <w:right w:val="single" w:sz="4" w:space="0" w:color="B9B9B9"/>
            </w:tcBorders>
          </w:tcPr>
          <w:p>
            <w:pPr>
              <w:pStyle w:val="7Tablebodycopy"/>
              <w:snapToGrid w:val="false"/>
              <w:spacing w:before="0" w:after="60"/>
              <w:rPr/>
            </w:pPr>
            <w:r>
              <w:rPr/>
            </w:r>
          </w:p>
        </w:tc>
      </w:tr>
      <w:tr>
        <w:trPr/>
        <w:tc>
          <w:tcPr>
            <w:tcW w:w="1701" w:type="dxa"/>
            <w:tcBorders>
              <w:top w:val="single" w:sz="4" w:space="0" w:color="B9B9B9"/>
              <w:left w:val="single" w:sz="4" w:space="0" w:color="B9B9B9"/>
              <w:bottom w:val="single" w:sz="4" w:space="0" w:color="B9B9B9"/>
              <w:right w:val="single" w:sz="4" w:space="0" w:color="B9B9B9"/>
            </w:tcBorders>
          </w:tcPr>
          <w:p>
            <w:pPr>
              <w:pStyle w:val="7Tablebodycopy"/>
              <w:snapToGrid w:val="false"/>
              <w:spacing w:before="0" w:after="60"/>
              <w:rPr/>
            </w:pPr>
            <w:r>
              <w:rPr/>
            </w:r>
          </w:p>
        </w:tc>
        <w:tc>
          <w:tcPr>
            <w:tcW w:w="8019" w:type="dxa"/>
            <w:tcBorders>
              <w:top w:val="single" w:sz="4" w:space="0" w:color="B9B9B9"/>
              <w:left w:val="single" w:sz="4" w:space="0" w:color="B9B9B9"/>
              <w:bottom w:val="single" w:sz="4" w:space="0" w:color="B9B9B9"/>
              <w:right w:val="single" w:sz="4" w:space="0" w:color="B9B9B9"/>
            </w:tcBorders>
          </w:tcPr>
          <w:p>
            <w:pPr>
              <w:pStyle w:val="7Tablebodycopy"/>
              <w:snapToGrid w:val="false"/>
              <w:spacing w:before="0" w:after="60"/>
              <w:rPr/>
            </w:pPr>
            <w:r>
              <w:rPr/>
            </w:r>
          </w:p>
        </w:tc>
      </w:tr>
    </w:tbl>
    <w:p>
      <w:pPr>
        <w:sectPr>
          <w:headerReference w:type="default" r:id="rId5"/>
          <w:headerReference w:type="first" r:id="rId6"/>
          <w:footerReference w:type="default" r:id="rId7"/>
          <w:footerReference w:type="first" r:id="rId8"/>
          <w:type w:val="nextPage"/>
          <w:pgSz w:w="11906" w:h="16838"/>
          <w:pgMar w:left="1080" w:right="1080" w:gutter="0" w:header="562" w:top="994" w:footer="230" w:bottom="1699"/>
          <w:pgNumType w:fmt="decimal"/>
          <w:formProt w:val="false"/>
          <w:titlePg/>
          <w:textDirection w:val="lrTb"/>
          <w:docGrid w:type="default" w:linePitch="360" w:charSpace="0"/>
        </w:sectPr>
      </w:pPr>
    </w:p>
    <w:p>
      <w:pPr>
        <w:pStyle w:val="Normal"/>
        <w:rPr>
          <w:lang w:val="en-US" w:eastAsia="en-US"/>
        </w:rPr>
      </w:pPr>
      <w:r>
        <w:rPr>
          <w:lang w:val="en-US" w:eastAsia="en-US"/>
        </w:rPr>
        <w:drawing>
          <wp:anchor behindDoc="1" distT="0" distB="0" distL="114935" distR="114935" simplePos="0" locked="0" layoutInCell="0" allowOverlap="1" relativeHeight="77">
            <wp:simplePos x="0" y="0"/>
            <wp:positionH relativeFrom="column">
              <wp:posOffset>-194945</wp:posOffset>
            </wp:positionH>
            <wp:positionV relativeFrom="paragraph">
              <wp:posOffset>-129540</wp:posOffset>
            </wp:positionV>
            <wp:extent cx="9461500" cy="6158865"/>
            <wp:effectExtent l="0" t="0" r="0" b="0"/>
            <wp:wrapTight wrapText="bothSides">
              <wp:wrapPolygon edited="0">
                <wp:start x="-21" y="-291"/>
                <wp:lineTo x="-21" y="22454"/>
                <wp:lineTo x="21598" y="22454"/>
                <wp:lineTo x="21598" y="-291"/>
                <wp:lineTo x="-21" y="-291"/>
              </wp:wrapPolygon>
            </wp:wrapTight>
            <wp:docPr id="33" name="Pictur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1" descr=""/>
                    <pic:cNvPicPr>
                      <a:picLocks noChangeAspect="1" noChangeArrowheads="1"/>
                    </pic:cNvPicPr>
                  </pic:nvPicPr>
                  <pic:blipFill>
                    <a:blip r:embed="rId9"/>
                    <a:srcRect l="-4" t="1281" r="-4" b="3897"/>
                    <a:stretch>
                      <a:fillRect/>
                    </a:stretch>
                  </pic:blipFill>
                  <pic:spPr bwMode="auto">
                    <a:xfrm>
                      <a:off x="0" y="0"/>
                      <a:ext cx="9461500" cy="6158865"/>
                    </a:xfrm>
                    <a:prstGeom prst="rect">
                      <a:avLst/>
                    </a:prstGeom>
                    <a:noFill/>
                  </pic:spPr>
                </pic:pic>
              </a:graphicData>
            </a:graphic>
          </wp:anchor>
        </w:drawing>
      </w:r>
    </w:p>
    <w:p>
      <w:pPr>
        <w:pStyle w:val="Normal"/>
        <w:spacing w:before="0" w:after="120"/>
        <w:rPr>
          <w:vanish/>
        </w:rPr>
      </w:pPr>
      <w:r>
        <w:rPr>
          <w:lang w:val="en-GB" w:eastAsia="en-US"/>
        </w:rPr>
        <w:drawing>
          <wp:inline distT="0" distB="0" distL="0" distR="0">
            <wp:extent cx="9421495" cy="4810125"/>
            <wp:effectExtent l="0" t="0" r="0" b="0"/>
            <wp:docPr id="3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 descr=""/>
                    <pic:cNvPicPr>
                      <a:picLocks noChangeAspect="1" noChangeArrowheads="1"/>
                    </pic:cNvPicPr>
                  </pic:nvPicPr>
                  <pic:blipFill>
                    <a:blip r:embed="rId10"/>
                    <a:srcRect l="-3" t="-7" r="-3" b="-7"/>
                    <a:stretch>
                      <a:fillRect/>
                    </a:stretch>
                  </pic:blipFill>
                  <pic:spPr bwMode="auto">
                    <a:xfrm>
                      <a:off x="0" y="0"/>
                      <a:ext cx="9421495" cy="4810125"/>
                    </a:xfrm>
                    <a:prstGeom prst="rect">
                      <a:avLst/>
                    </a:prstGeom>
                    <a:noFill/>
                  </pic:spPr>
                </pic:pic>
              </a:graphicData>
            </a:graphic>
          </wp:inline>
        </w:drawing>
      </w:r>
      <w:bookmarkStart w:id="0" w:name="_PictureBullets"/>
      <w:bookmarkEnd w:id="0"/>
    </w:p>
    <w:sectPr>
      <w:headerReference w:type="default" r:id="rId11"/>
      <w:headerReference w:type="first" r:id="rId12"/>
      <w:footerReference w:type="default" r:id="rId13"/>
      <w:footerReference w:type="first" r:id="rId14"/>
      <w:type w:val="nextPage"/>
      <w:pgSz w:orient="landscape" w:w="16838" w:h="11906"/>
      <w:pgMar w:left="720" w:right="720" w:gutter="0" w:header="708" w:top="764"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Display">
    <w:charset w:val="00"/>
    <w:family w:val="swiss"/>
    <w:pitch w:val="variable"/>
  </w:font>
  <w:font w:name="Courier New">
    <w:charset w:val="00"/>
    <w:family w:val="modern"/>
    <w:pitch w:val="default"/>
  </w:font>
  <w:font w:name="Wingdings">
    <w:charset w:val="02"/>
    <w:family w:val="auto"/>
    <w:pitch w:val="variable"/>
  </w:font>
  <w:font w:name="Segoe UI">
    <w:charset w:val="00"/>
    <w:family w:val="swiss"/>
    <w:pitch w:val="variable"/>
  </w:font>
  <w:font w:name="Liberation Sans">
    <w:altName w:val="Arial"/>
    <w:charset w:val="00"/>
    <w:family w:val="swiss"/>
    <w:pitch w:val="variable"/>
  </w:font>
  <w:font w:name="Calibri Light">
    <w:charset w:val="00"/>
    <w:family w:val="swiss"/>
    <w:pitch w:val="variable"/>
  </w:font>
  <w:font w:name="Calibri">
    <w:charset w:val="00"/>
    <w:family w:val="swiss"/>
    <w:pitch w:val="variable"/>
  </w:font>
  <w:font w:name="Century Gothic">
    <w:charset w:val="00"/>
    <w:family w:val="swiss"/>
    <w:pitch w:val="variable"/>
  </w:font>
  <w:font w:name="SassoonCRInfant">
    <w:altName w:val="Corbel"/>
    <w:charset w:val="00"/>
    <w:family w:val="auto"/>
    <w:pitch w:val="variable"/>
  </w:font>
  <w:font w:name="Tahoma">
    <w:charset w:val="00"/>
    <w:family w:val="swiss"/>
    <w:pitch w:val="variable"/>
  </w:font>
  <w:font w:name="Courier New">
    <w:charset w:val="00"/>
    <w:family w:val="modern"/>
    <w:pitch w:val="fixed"/>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hd w:fill="FFFFFF" w:val="clear"/>
      <w:spacing w:before="0" w:after="120"/>
      <w:textAlignment w:val="baselin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autoSpaceDE w:val="false"/>
      <w:jc w:val="both"/>
      <w:rPr>
        <w:rFonts w:cs="HelveticaNeue-UltraLight"/>
        <w:szCs w:val="20"/>
      </w:rPr>
    </w:pPr>
    <w:r>
      <w:rPr>
        <w:rFonts w:cs="HelveticaNeue-Light"/>
        <w:b/>
        <w:szCs w:val="20"/>
      </w:rPr>
      <w:t>St. John’s CE Primary School</w:t>
    </w:r>
    <w:r>
      <w:rPr>
        <w:rFonts w:cs="HelveticaNeue-UltraLight"/>
        <w:szCs w:val="20"/>
      </w:rPr>
      <w:t>, Bayham Road, Sevenoaks, Kent TN13 3XD</w:t>
    </w:r>
    <w:r>
      <w:rPr>
        <w:rFonts w:cs="HelveticaNeue-UltraLight"/>
        <w:b/>
        <w:szCs w:val="20"/>
      </w:rPr>
      <w:t xml:space="preserve"> </w:t>
    </w:r>
    <w:r>
      <w:rPr>
        <w:rFonts w:cs="HelveticaNeue"/>
        <w:b/>
        <w:szCs w:val="20"/>
      </w:rPr>
      <w:t>T</w:t>
    </w:r>
    <w:r>
      <w:rPr>
        <w:rFonts w:cs="HelveticaNeue-UltraLight"/>
        <w:b/>
        <w:szCs w:val="20"/>
      </w:rPr>
      <w:t xml:space="preserve">: </w:t>
    </w:r>
    <w:r>
      <w:rPr>
        <w:rFonts w:cs="HelveticaNeue-UltraLight"/>
        <w:szCs w:val="20"/>
      </w:rPr>
      <w:t xml:space="preserve">01732 453944 </w:t>
    </w:r>
    <w:r>
      <w:rPr>
        <w:rFonts w:cs="HelveticaNeue"/>
        <w:b/>
        <w:szCs w:val="20"/>
      </w:rPr>
      <w:t>F</w:t>
    </w:r>
    <w:r>
      <w:rPr>
        <w:rFonts w:cs="HelveticaNeue-UltraLight"/>
        <w:b/>
        <w:szCs w:val="20"/>
      </w:rPr>
      <w:t xml:space="preserve">: </w:t>
    </w:r>
    <w:r>
      <w:rPr>
        <w:rFonts w:cs="HelveticaNeue-UltraLight"/>
        <w:szCs w:val="20"/>
      </w:rPr>
      <w:t>01732 740552</w:t>
    </w:r>
    <w:r>
      <w:rPr/>
      <w:tab/>
      <w:tab/>
    </w:r>
  </w:p>
  <w:p>
    <w:pPr>
      <w:pStyle w:val="Footer"/>
      <w:jc w:val="both"/>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45</w:t>
    </w:r>
    <w:r>
      <w:rPr>
        <w:sz w:val="20"/>
        <w:szCs w:val="20"/>
      </w:rPr>
      <w:fldChar w:fldCharType="end"/>
    </w:r>
  </w:p>
  <w:p>
    <w:pPr>
      <w:pStyle w:val="Footer"/>
      <w:spacing w:before="0" w:after="120"/>
      <w:rPr>
        <w:sz w:val="20"/>
        <w:szCs w:val="20"/>
      </w:rPr>
    </w:pPr>
    <w:r>
      <w:rPr>
        <w:sz w:val="20"/>
        <w:szCs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drawing>
        <wp:anchor behindDoc="1" distT="0" distB="0" distL="114935" distR="114935" simplePos="0" locked="0" layoutInCell="0" allowOverlap="1" relativeHeight="72">
          <wp:simplePos x="0" y="0"/>
          <wp:positionH relativeFrom="column">
            <wp:posOffset>8903335</wp:posOffset>
          </wp:positionH>
          <wp:positionV relativeFrom="page">
            <wp:posOffset>334010</wp:posOffset>
          </wp:positionV>
          <wp:extent cx="582930" cy="582930"/>
          <wp:effectExtent l="0" t="0" r="0" b="0"/>
          <wp:wrapTight wrapText="bothSides">
            <wp:wrapPolygon edited="0">
              <wp:start x="-353" y="0"/>
              <wp:lineTo x="-353" y="21233"/>
              <wp:lineTo x="21600" y="21233"/>
              <wp:lineTo x="21600" y="0"/>
              <wp:lineTo x="-353" y="0"/>
            </wp:wrapPolygon>
          </wp:wrapTight>
          <wp:docPr id="28"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4" descr=""/>
                  <pic:cNvPicPr>
                    <a:picLocks noChangeAspect="1" noChangeArrowheads="1"/>
                  </pic:cNvPicPr>
                </pic:nvPicPr>
                <pic:blipFill>
                  <a:blip r:embed="rId1"/>
                  <a:srcRect l="-62" t="-62" r="-62" b="-62"/>
                  <a:stretch>
                    <a:fillRect/>
                  </a:stretch>
                </pic:blipFill>
                <pic:spPr bwMode="auto">
                  <a:xfrm>
                    <a:off x="0" y="0"/>
                    <a:ext cx="582930" cy="582930"/>
                  </a:xfrm>
                  <a:prstGeom prst="rect">
                    <a:avLst/>
                  </a:prstGeom>
                  <a:noFill/>
                </pic:spPr>
              </pic:pic>
            </a:graphicData>
          </a:graphic>
        </wp:anchor>
      </w:drawing>
    </w:r>
    <w:r>
      <w:rPr/>
      <w:tab/>
      <w:tab/>
    </w:r>
  </w:p>
  <w:p>
    <w:pPr>
      <w:pStyle w:val="Header"/>
      <w:tabs>
        <w:tab w:val="center" w:pos="4513" w:leader="none"/>
        <w:tab w:val="right" w:pos="9026" w:leader="none"/>
        <w:tab w:val="left" w:pos="12800" w:leader="none"/>
        <w:tab w:val="left" w:pos="13780" w:leader="none"/>
      </w:tabs>
      <w:rPr/>
    </w:pPr>
    <w:r>
      <w:rPr/>
      <w:tab/>
      <w:tab/>
      <w:tab/>
      <w:tab/>
    </w:r>
  </w:p>
  <w:p>
    <w:pPr>
      <w:pStyle w:val="Header"/>
      <w:jc w:val="right"/>
      <w:rPr>
        <w:sz w:val="18"/>
        <w:szCs w:val="18"/>
      </w:rPr>
    </w:pPr>
    <w:r>
      <w:rPr>
        <w:sz w:val="18"/>
        <w:szCs w:val="18"/>
      </w:rPr>
      <w:t>St John’s CE Primary School</w:t>
    </w:r>
  </w:p>
  <w:p>
    <w:pPr>
      <w:pStyle w:val="Header"/>
      <w:jc w:val="right"/>
      <w:rPr>
        <w:sz w:val="18"/>
        <w:szCs w:val="18"/>
      </w:rPr>
    </w:pPr>
    <w:r>
      <w:rPr>
        <w:sz w:val="18"/>
        <w:szCs w:val="18"/>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drawing>
        <wp:anchor behindDoc="1" distT="0" distB="0" distL="114935" distR="114935" simplePos="0" locked="0" layoutInCell="0" allowOverlap="1" relativeHeight="60">
          <wp:simplePos x="0" y="0"/>
          <wp:positionH relativeFrom="column">
            <wp:posOffset>8077835</wp:posOffset>
          </wp:positionH>
          <wp:positionV relativeFrom="page">
            <wp:posOffset>285115</wp:posOffset>
          </wp:positionV>
          <wp:extent cx="582930" cy="582930"/>
          <wp:effectExtent l="0" t="0" r="0" b="0"/>
          <wp:wrapTight wrapText="bothSides">
            <wp:wrapPolygon edited="0">
              <wp:start x="-353" y="0"/>
              <wp:lineTo x="-353" y="21233"/>
              <wp:lineTo x="21600" y="21233"/>
              <wp:lineTo x="21600" y="0"/>
              <wp:lineTo x="-353" y="0"/>
            </wp:wrapPolygon>
          </wp:wrapTight>
          <wp:docPr id="29"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 descr=""/>
                  <pic:cNvPicPr>
                    <a:picLocks noChangeAspect="1" noChangeArrowheads="1"/>
                  </pic:cNvPicPr>
                </pic:nvPicPr>
                <pic:blipFill>
                  <a:blip r:embed="rId1"/>
                  <a:srcRect l="-62" t="-62" r="-62" b="-62"/>
                  <a:stretch>
                    <a:fillRect/>
                  </a:stretch>
                </pic:blipFill>
                <pic:spPr bwMode="auto">
                  <a:xfrm>
                    <a:off x="0" y="0"/>
                    <a:ext cx="582930" cy="582930"/>
                  </a:xfrm>
                  <a:prstGeom prst="rect">
                    <a:avLst/>
                  </a:prstGeom>
                  <a:noFill/>
                </pic:spPr>
              </pic:pic>
            </a:graphicData>
          </a:graphic>
        </wp:anchor>
      </w:drawing>
    </w:r>
    <w:r>
      <w:rPr/>
      <w:tab/>
      <w:tab/>
    </w:r>
  </w:p>
  <w:p>
    <w:pPr>
      <w:pStyle w:val="Header"/>
      <w:tabs>
        <w:tab w:val="center" w:pos="4513" w:leader="none"/>
        <w:tab w:val="right" w:pos="9026" w:leader="none"/>
        <w:tab w:val="left" w:pos="11890" w:leader="none"/>
        <w:tab w:val="left" w:pos="12800" w:leader="none"/>
        <w:tab w:val="left" w:pos="13780" w:leader="none"/>
      </w:tabs>
      <w:rPr/>
    </w:pPr>
    <w:r>
      <w:rPr/>
      <w:tab/>
      <w:tab/>
      <w:tab/>
      <w:tab/>
      <w:tab/>
    </w:r>
  </w:p>
  <w:p>
    <w:pPr>
      <w:pStyle w:val="Header"/>
      <w:jc w:val="right"/>
      <w:rPr>
        <w:sz w:val="18"/>
        <w:szCs w:val="18"/>
      </w:rPr>
    </w:pPr>
    <w:r>
      <w:rPr>
        <w:sz w:val="18"/>
        <w:szCs w:val="18"/>
      </w:rPr>
    </w:r>
  </w:p>
  <w:p>
    <w:pPr>
      <w:pStyle w:val="Header"/>
      <w:jc w:val="right"/>
      <w:rPr>
        <w:sz w:val="18"/>
        <w:szCs w:val="18"/>
      </w:rPr>
    </w:pPr>
    <w:r>
      <w:rPr>
        <w:sz w:val="18"/>
        <w:szCs w:val="18"/>
      </w:rPr>
    </w:r>
  </w:p>
  <w:p>
    <w:pPr>
      <w:pStyle w:val="Header"/>
      <w:jc w:val="right"/>
      <w:rPr>
        <w:sz w:val="18"/>
        <w:szCs w:val="18"/>
      </w:rPr>
    </w:pPr>
    <w:r>
      <w:rPr>
        <w:sz w:val="18"/>
        <w:szCs w:val="18"/>
      </w:rPr>
      <w:t>St John’s CE Primary School</w:t>
    </w:r>
  </w:p>
  <w:p>
    <w:pPr>
      <w:pStyle w:val="Header"/>
      <w:jc w:val="right"/>
      <w:rPr>
        <w:sz w:val="18"/>
        <w:szCs w:val="18"/>
      </w:rPr>
    </w:pPr>
    <w:r>
      <w:rPr>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lang w:val="en-US" w:eastAsia="en-US"/>
      </w:rPr>
    </w:pPr>
    <w:r>
      <w:rPr>
        <w:lang w:val="en-US" w:eastAsia="en-US"/>
      </w:rPr>
      <w:drawing>
        <wp:anchor behindDoc="1" distT="0" distB="0" distL="114935" distR="114935" simplePos="0" locked="0" layoutInCell="0" allowOverlap="1" relativeHeight="73">
          <wp:simplePos x="0" y="0"/>
          <wp:positionH relativeFrom="column">
            <wp:posOffset>7950200</wp:posOffset>
          </wp:positionH>
          <wp:positionV relativeFrom="paragraph">
            <wp:posOffset>-173990</wp:posOffset>
          </wp:positionV>
          <wp:extent cx="585470" cy="585470"/>
          <wp:effectExtent l="0" t="0" r="0" b="0"/>
          <wp:wrapTight wrapText="bothSides">
            <wp:wrapPolygon edited="0">
              <wp:start x="-351" y="0"/>
              <wp:lineTo x="-351" y="21235"/>
              <wp:lineTo x="21600" y="21235"/>
              <wp:lineTo x="21600" y="0"/>
              <wp:lineTo x="-351" y="0"/>
            </wp:wrapPolygon>
          </wp:wrapTight>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1"/>
                  <a:srcRect l="-62" t="-62" r="-62" b="-62"/>
                  <a:stretch>
                    <a:fillRect/>
                  </a:stretch>
                </pic:blipFill>
                <pic:spPr bwMode="auto">
                  <a:xfrm>
                    <a:off x="0" y="0"/>
                    <a:ext cx="585470" cy="585470"/>
                  </a:xfrm>
                  <a:prstGeom prst="rect">
                    <a:avLst/>
                  </a:prstGeom>
                  <a:noFill/>
                </pic:spPr>
              </pic:pic>
            </a:graphicData>
          </a:graphic>
        </wp:anchor>
      </w:drawing>
    </w:r>
  </w:p>
  <w:p>
    <w:pPr>
      <w:pStyle w:val="Header"/>
      <w:jc w:val="right"/>
      <w:rPr>
        <w:lang w:val="en-US"/>
      </w:rPr>
    </w:pPr>
    <w:r>
      <w:rPr>
        <w:lang w:val="en-US"/>
      </w:rPr>
    </w:r>
  </w:p>
  <w:p>
    <w:pPr>
      <w:pStyle w:val="Header"/>
      <w:jc w:val="right"/>
      <w:rPr>
        <w:lang w:val="en-US"/>
      </w:rPr>
    </w:pPr>
    <w:r>
      <w:rPr>
        <w:lang w:val="en-US"/>
      </w:rPr>
    </w:r>
  </w:p>
  <w:p>
    <w:pPr>
      <w:pStyle w:val="Header"/>
      <w:jc w:val="right"/>
      <w:rPr>
        <w:lang w:val="en-US"/>
      </w:rPr>
    </w:pPr>
    <w:r>
      <w:rPr>
        <w:lang w:val="en-US"/>
      </w:rPr>
      <w:t>St John’s CE Primary School</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drawing>
        <wp:anchor behindDoc="1" distT="0" distB="0" distL="114935" distR="114935" simplePos="0" locked="0" layoutInCell="1" allowOverlap="1" relativeHeight="0">
          <wp:simplePos x="0" y="0"/>
          <wp:positionH relativeFrom="column">
            <wp:posOffset>8077835</wp:posOffset>
          </wp:positionH>
          <wp:positionV relativeFrom="page">
            <wp:posOffset>285115</wp:posOffset>
          </wp:positionV>
          <wp:extent cx="582930" cy="582930"/>
          <wp:effectExtent l="0" t="0" r="0" b="0"/>
          <wp:wrapTight wrapText="bothSides">
            <wp:wrapPolygon edited="0">
              <wp:start x="-353" y="0"/>
              <wp:lineTo x="-353" y="21233"/>
              <wp:lineTo x="21600" y="21233"/>
              <wp:lineTo x="21600" y="0"/>
              <wp:lineTo x="-353" y="0"/>
            </wp:wrapPolygon>
          </wp:wrapTight>
          <wp:docPr id="31" name="Picture 4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4 Copy 1" descr=""/>
                  <pic:cNvPicPr>
                    <a:picLocks noChangeAspect="1" noChangeArrowheads="1"/>
                  </pic:cNvPicPr>
                </pic:nvPicPr>
                <pic:blipFill>
                  <a:blip r:embed="rId1"/>
                  <a:stretch>
                    <a:fillRect/>
                  </a:stretch>
                </pic:blipFill>
                <pic:spPr bwMode="auto">
                  <a:xfrm>
                    <a:off x="0" y="0"/>
                    <a:ext cx="582930" cy="582930"/>
                  </a:xfrm>
                  <a:prstGeom prst="rect">
                    <a:avLst/>
                  </a:prstGeom>
                </pic:spPr>
              </pic:pic>
            </a:graphicData>
          </a:graphic>
        </wp:anchor>
      </w:drawing>
    </w:r>
    <w:r>
      <w:rPr/>
      <w:tab/>
      <w:tab/>
    </w:r>
  </w:p>
  <w:p>
    <w:pPr>
      <w:pStyle w:val="Header"/>
      <w:tabs>
        <w:tab w:val="center" w:pos="4513" w:leader="none"/>
        <w:tab w:val="right" w:pos="9026" w:leader="none"/>
        <w:tab w:val="left" w:pos="11890" w:leader="none"/>
        <w:tab w:val="left" w:pos="12800" w:leader="none"/>
        <w:tab w:val="left" w:pos="13780" w:leader="none"/>
      </w:tabs>
      <w:rPr/>
    </w:pPr>
    <w:r>
      <w:rPr/>
      <w:tab/>
      <w:tab/>
      <w:tab/>
      <w:tab/>
      <w:tab/>
    </w:r>
  </w:p>
  <w:p>
    <w:pPr>
      <w:pStyle w:val="Header"/>
      <w:jc w:val="right"/>
      <w:rPr>
        <w:sz w:val="18"/>
        <w:szCs w:val="18"/>
      </w:rPr>
    </w:pPr>
    <w:r>
      <w:rPr>
        <w:sz w:val="18"/>
        <w:szCs w:val="18"/>
      </w:rPr>
    </w:r>
  </w:p>
  <w:p>
    <w:pPr>
      <w:pStyle w:val="Header"/>
      <w:jc w:val="right"/>
      <w:rPr>
        <w:sz w:val="18"/>
        <w:szCs w:val="18"/>
      </w:rPr>
    </w:pPr>
    <w:r>
      <w:rPr>
        <w:sz w:val="18"/>
        <w:szCs w:val="18"/>
      </w:rPr>
    </w:r>
  </w:p>
  <w:p>
    <w:pPr>
      <w:pStyle w:val="Header"/>
      <w:jc w:val="right"/>
      <w:rPr>
        <w:sz w:val="18"/>
        <w:szCs w:val="18"/>
      </w:rPr>
    </w:pPr>
    <w:r>
      <w:rPr>
        <w:sz w:val="18"/>
        <w:szCs w:val="18"/>
      </w:rPr>
      <w:t>St John’s CE Primary School</w:t>
    </w:r>
  </w:p>
  <w:p>
    <w:pPr>
      <w:pStyle w:val="Header"/>
      <w:jc w:val="right"/>
      <w:rPr>
        <w:sz w:val="18"/>
        <w:szCs w:val="18"/>
      </w:rPr>
    </w:pPr>
    <w:r>
      <w:rPr>
        <w:sz w:val="18"/>
        <w:szCs w:val="18"/>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320" w:leader="none"/>
        <w:tab w:val="right" w:pos="8640" w:leader="none"/>
      </w:tabs>
      <w:spacing w:before="0" w:after="0"/>
      <w:jc w:val="right"/>
      <w:rPr>
        <w:rFonts w:ascii="Tahoma" w:hAnsi="Tahoma" w:eastAsia="Times New Roman" w:cs="Tahoma"/>
        <w:sz w:val="18"/>
        <w:szCs w:val="18"/>
      </w:rPr>
    </w:pPr>
    <w:r>
      <w:rPr>
        <w:rFonts w:eastAsia="Times New Roman" w:cs="Tahoma" w:ascii="Tahoma" w:hAnsi="Tahoma"/>
        <w:sz w:val="18"/>
        <w:szCs w:val="18"/>
      </w:rPr>
    </w:r>
  </w:p>
  <w:p>
    <w:pPr>
      <w:pStyle w:val="Normal"/>
      <w:tabs>
        <w:tab w:val="clear" w:pos="720"/>
        <w:tab w:val="center" w:pos="4320" w:leader="none"/>
        <w:tab w:val="right" w:pos="8640" w:leader="none"/>
      </w:tabs>
      <w:spacing w:before="0" w:after="0"/>
      <w:jc w:val="right"/>
      <w:rPr>
        <w:rFonts w:ascii="Tahoma" w:hAnsi="Tahoma" w:eastAsia="Times New Roman" w:cs="Tahoma"/>
        <w:sz w:val="18"/>
        <w:szCs w:val="18"/>
      </w:rPr>
    </w:pPr>
    <w:r>
      <w:rPr>
        <w:rFonts w:eastAsia="Times New Roman" w:cs="Tahoma" w:ascii="Tahoma" w:hAnsi="Tahoma"/>
        <w:sz w:val="18"/>
        <w:szCs w:val="18"/>
      </w:rPr>
    </w:r>
  </w:p>
  <w:p>
    <w:pPr>
      <w:pStyle w:val="Normal"/>
      <w:tabs>
        <w:tab w:val="clear" w:pos="720"/>
        <w:tab w:val="center" w:pos="4320" w:leader="none"/>
        <w:tab w:val="right" w:pos="8640" w:leader="none"/>
      </w:tabs>
      <w:spacing w:before="0" w:after="0"/>
      <w:jc w:val="right"/>
      <w:rPr>
        <w:rFonts w:ascii="Tahoma" w:hAnsi="Tahoma" w:eastAsia="Times New Roman" w:cs="Tahoma"/>
        <w:sz w:val="18"/>
        <w:szCs w:val="18"/>
      </w:rPr>
    </w:pPr>
    <w:r>
      <w:rPr>
        <w:rFonts w:eastAsia="Times New Roman" w:cs="Tahoma" w:ascii="Tahoma" w:hAnsi="Tahoma"/>
        <w:sz w:val="18"/>
        <w:szCs w:val="18"/>
      </w:rPr>
    </w:r>
  </w:p>
  <w:p>
    <w:pPr>
      <w:pStyle w:val="Normal"/>
      <w:tabs>
        <w:tab w:val="clear" w:pos="720"/>
        <w:tab w:val="center" w:pos="4320" w:leader="none"/>
        <w:tab w:val="right" w:pos="8640" w:leader="none"/>
      </w:tabs>
      <w:spacing w:before="0" w:after="0"/>
      <w:jc w:val="right"/>
      <w:rPr>
        <w:rFonts w:ascii="Calibri" w:hAnsi="Calibri" w:eastAsia="Times New Roman" w:cs="Tahoma"/>
        <w:sz w:val="18"/>
        <w:szCs w:val="18"/>
      </w:rPr>
    </w:pPr>
    <w:r>
      <w:rPr>
        <w:rFonts w:eastAsia="Times New Roman" w:cs="Tahoma" w:ascii="Calibri" w:hAnsi="Calibri"/>
        <w:sz w:val="18"/>
        <w:szCs w:val="18"/>
      </w:rPr>
    </w:r>
  </w:p>
  <w:p>
    <w:pPr>
      <w:pStyle w:val="Normal"/>
      <w:tabs>
        <w:tab w:val="clear" w:pos="720"/>
        <w:tab w:val="center" w:pos="4320" w:leader="none"/>
        <w:tab w:val="right" w:pos="8640" w:leader="none"/>
      </w:tabs>
      <w:spacing w:before="0" w:after="0"/>
      <w:jc w:val="right"/>
      <w:rPr>
        <w:rFonts w:ascii="Calibri" w:hAnsi="Calibri" w:eastAsia="Times New Roman" w:cs="Tahoma"/>
        <w:sz w:val="18"/>
        <w:szCs w:val="18"/>
      </w:rPr>
    </w:pPr>
    <w:r>
      <w:rPr>
        <w:rFonts w:eastAsia="Times New Roman" w:cs="Tahoma" w:ascii="Calibri" w:hAnsi="Calibri"/>
        <w:sz w:val="18"/>
        <w:szCs w:val="18"/>
      </w:rPr>
    </w:r>
  </w:p>
  <w:p>
    <w:pPr>
      <w:pStyle w:val="Normal"/>
      <w:tabs>
        <w:tab w:val="clear" w:pos="720"/>
        <w:tab w:val="right" w:pos="9072" w:leader="none"/>
      </w:tabs>
      <w:spacing w:before="0" w:after="0"/>
      <w:jc w:val="right"/>
      <w:rPr>
        <w:rFonts w:ascii="Calibri" w:hAnsi="Calibri" w:eastAsia="Times New Roman" w:cs="Tahoma"/>
        <w:sz w:val="18"/>
        <w:szCs w:val="18"/>
      </w:rPr>
    </w:pPr>
    <w:r>
      <w:drawing>
        <wp:anchor behindDoc="0" distT="0" distB="0" distL="114935" distR="114935" simplePos="0" locked="0" layoutInCell="0" allowOverlap="1" relativeHeight="76">
          <wp:simplePos x="0" y="0"/>
          <wp:positionH relativeFrom="column">
            <wp:posOffset>5220335</wp:posOffset>
          </wp:positionH>
          <wp:positionV relativeFrom="page">
            <wp:posOffset>384175</wp:posOffset>
          </wp:positionV>
          <wp:extent cx="582930" cy="582930"/>
          <wp:effectExtent l="0" t="0" r="0" b="0"/>
          <wp:wrapTopAndBottom/>
          <wp:docPr id="32"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descr=""/>
                  <pic:cNvPicPr>
                    <a:picLocks noChangeAspect="1" noChangeArrowheads="1"/>
                  </pic:cNvPicPr>
                </pic:nvPicPr>
                <pic:blipFill>
                  <a:blip r:embed="rId1"/>
                  <a:srcRect l="-62" t="-62" r="-62" b="-62"/>
                  <a:stretch>
                    <a:fillRect/>
                  </a:stretch>
                </pic:blipFill>
                <pic:spPr bwMode="auto">
                  <a:xfrm>
                    <a:off x="0" y="0"/>
                    <a:ext cx="582930" cy="582930"/>
                  </a:xfrm>
                  <a:prstGeom prst="rect">
                    <a:avLst/>
                  </a:prstGeom>
                  <a:noFill/>
                </pic:spPr>
              </pic:pic>
            </a:graphicData>
          </a:graphic>
        </wp:anchor>
      </w:drawing>
    </w:r>
    <w:r>
      <w:rPr>
        <w:rFonts w:eastAsia="Times New Roman" w:cs="Tahoma" w:ascii="Calibri" w:hAnsi="Calibri"/>
        <w:sz w:val="18"/>
        <w:szCs w:val="18"/>
      </w:rPr>
      <w:t>St John’s CE Primary School</w:t>
    </w:r>
  </w:p>
  <w:p>
    <w:pPr>
      <w:pStyle w:val="Header"/>
      <w:rPr>
        <w:rFonts w:ascii="Calibri" w:hAnsi="Calibri" w:eastAsia="Times New Roman" w:cs="Tahoma"/>
        <w:sz w:val="18"/>
        <w:szCs w:val="18"/>
      </w:rPr>
    </w:pPr>
    <w:r>
      <w:rPr>
        <w:rFonts w:eastAsia="Times New Roman" w:cs="Tahoma"/>
        <w:sz w:val="18"/>
        <w:szCs w:val="18"/>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drawing>
        <wp:anchor behindDoc="1" distT="0" distB="0" distL="114935" distR="114935" simplePos="0" locked="0" layoutInCell="0" allowOverlap="1" relativeHeight="75">
          <wp:simplePos x="0" y="0"/>
          <wp:positionH relativeFrom="column">
            <wp:posOffset>8935085</wp:posOffset>
          </wp:positionH>
          <wp:positionV relativeFrom="page">
            <wp:posOffset>393065</wp:posOffset>
          </wp:positionV>
          <wp:extent cx="582930" cy="582930"/>
          <wp:effectExtent l="0" t="0" r="0" b="0"/>
          <wp:wrapTight wrapText="bothSides">
            <wp:wrapPolygon edited="0">
              <wp:start x="-353" y="0"/>
              <wp:lineTo x="-353" y="21233"/>
              <wp:lineTo x="21600" y="21233"/>
              <wp:lineTo x="21600" y="0"/>
              <wp:lineTo x="-353" y="0"/>
            </wp:wrapPolygon>
          </wp:wrapTight>
          <wp:docPr id="35"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4" descr=""/>
                  <pic:cNvPicPr>
                    <a:picLocks noChangeAspect="1" noChangeArrowheads="1"/>
                  </pic:cNvPicPr>
                </pic:nvPicPr>
                <pic:blipFill>
                  <a:blip r:embed="rId1"/>
                  <a:srcRect l="-62" t="-62" r="-62" b="-62"/>
                  <a:stretch>
                    <a:fillRect/>
                  </a:stretch>
                </pic:blipFill>
                <pic:spPr bwMode="auto">
                  <a:xfrm>
                    <a:off x="0" y="0"/>
                    <a:ext cx="582930" cy="582930"/>
                  </a:xfrm>
                  <a:prstGeom prst="rect">
                    <a:avLst/>
                  </a:prstGeom>
                  <a:noFill/>
                </pic:spPr>
              </pic:pic>
            </a:graphicData>
          </a:graphic>
        </wp:anchor>
      </w:drawing>
    </w:r>
    <w:r>
      <w:rPr/>
      <w:tab/>
      <w:tab/>
    </w:r>
  </w:p>
  <w:p>
    <w:pPr>
      <w:pStyle w:val="Header"/>
      <w:tabs>
        <w:tab w:val="center" w:pos="4513" w:leader="none"/>
        <w:tab w:val="right" w:pos="9026" w:leader="none"/>
        <w:tab w:val="left" w:pos="12800" w:leader="none"/>
        <w:tab w:val="left" w:pos="13780" w:leader="none"/>
      </w:tabs>
      <w:rPr/>
    </w:pPr>
    <w:r>
      <w:rPr/>
      <w:tab/>
      <w:tab/>
      <w:tab/>
      <w:tab/>
    </w:r>
  </w:p>
  <w:p>
    <w:pPr>
      <w:pStyle w:val="Header"/>
      <w:jc w:val="right"/>
      <w:rPr>
        <w:sz w:val="18"/>
        <w:szCs w:val="18"/>
      </w:rPr>
    </w:pPr>
    <w:r>
      <w:rPr>
        <w:sz w:val="18"/>
        <w:szCs w:val="18"/>
      </w:rPr>
    </w:r>
  </w:p>
  <w:p>
    <w:pPr>
      <w:pStyle w:val="Header"/>
      <w:jc w:val="right"/>
      <w:rPr>
        <w:sz w:val="18"/>
        <w:szCs w:val="18"/>
      </w:rPr>
    </w:pPr>
    <w:r>
      <w:rPr>
        <w:sz w:val="18"/>
        <w:szCs w:val="18"/>
      </w:rPr>
    </w:r>
  </w:p>
  <w:p>
    <w:pPr>
      <w:pStyle w:val="Header"/>
      <w:jc w:val="right"/>
      <w:rPr>
        <w:sz w:val="18"/>
        <w:szCs w:val="18"/>
      </w:rPr>
    </w:pPr>
    <w:r>
      <w:rPr>
        <w:sz w:val="18"/>
        <w:szCs w:val="18"/>
      </w:rPr>
      <w:t>St John’s CE Primary School</w:t>
    </w:r>
  </w:p>
  <w:p>
    <w:pPr>
      <w:pStyle w:val="Header"/>
      <w:jc w:val="right"/>
      <w:rPr>
        <w:sz w:val="18"/>
        <w:szCs w:val="18"/>
      </w:rPr>
    </w:pPr>
    <w:r>
      <w:rPr>
        <w:sz w:val="18"/>
        <w:szCs w:val="18"/>
      </w:rPr>
    </w:r>
  </w:p>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numPicBullet w:numPicBulletId="0">
    <w:pict>
      <v:shape style="width:209.05pt;height:332.05pt" o:bullet="t">
        <v:imagedata r:id="rId1" o:title=""/>
      </v:shape>
    </w:pict>
  </w:numPicBullet>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0"/>
        </w:tabs>
        <w:ind w:left="907" w:hanging="170"/>
      </w:pPr>
      <w:rPr>
        <w:rFonts w:ascii="Symbol" w:hAnsi="Symbol" w:cs="Symbol" w:hint="default"/>
      </w:rPr>
    </w:lvl>
  </w:abstractNum>
  <w:abstractNum w:abstractNumId="4">
    <w:lvl w:ilvl="0">
      <w:start w:val="1"/>
      <w:numFmt w:val="bullet"/>
      <w:lvlText w:val=""/>
      <w:lvlJc w:val="left"/>
      <w:pPr>
        <w:tabs>
          <w:tab w:val="num" w:pos="0"/>
        </w:tabs>
        <w:ind w:left="340" w:hanging="170"/>
      </w:pPr>
      <w:rPr>
        <w:rFonts w:ascii="Symbol" w:hAnsi="Symbol" w:cs="Symbol" w:hint="default"/>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lvl w:ilvl="0">
      <w:start w:val="1"/>
      <w:numFmt w:val="bullet"/>
      <w:lvlText w:val=""/>
      <w:lvlJc w:val="left"/>
      <w:pPr>
        <w:tabs>
          <w:tab w:val="num" w:pos="0"/>
        </w:tabs>
        <w:ind w:left="340" w:hanging="170"/>
      </w:pPr>
      <w:rPr>
        <w:rFonts w:ascii="Symbol" w:hAnsi="Symbol" w:cs="Symbol" w:hint="default"/>
      </w:rPr>
    </w:lvl>
  </w:abstractNum>
  <w:abstractNum w:abstractNumId="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lvl w:ilvl="0">
      <w:start w:val="1"/>
      <w:numFmt w:val="bullet"/>
      <w:lvlText w:val=""/>
      <w:lvlPicBulletId w:val="0"/>
      <w:lvlJc w:val="left"/>
      <w:pPr>
        <w:tabs>
          <w:tab w:val="num" w:pos="0"/>
        </w:tabs>
        <w:ind w:left="360" w:hanging="360"/>
      </w:pPr>
      <w:rPr>
        <w:rFonts w:ascii="Symbol" w:hAnsi="Symbol" w:cs="Symbol" w:hint="default"/>
        <w:color w:val="00000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PicBulletId w:val="0"/>
      <w:lvlJc w:val="left"/>
      <w:pPr>
        <w:tabs>
          <w:tab w:val="num" w:pos="0"/>
        </w:tabs>
        <w:ind w:left="340" w:hanging="170"/>
      </w:pPr>
      <w:rPr>
        <w:rFonts w:ascii="Symbol" w:hAnsi="Symbol" w:cs="Symbol" w:hint="default"/>
        <w:color w:val="00000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spacing w:before="0" w:after="120"/>
    </w:pPr>
    <w:rPr>
      <w:rFonts w:ascii="Arial" w:hAnsi="Arial" w:eastAsia="MS Mincho" w:cs="Arial"/>
      <w:color w:val="auto"/>
      <w:sz w:val="20"/>
      <w:szCs w:val="24"/>
      <w:lang w:val="en-US" w:bidi="ar-SA" w:eastAsia="zh-CN"/>
    </w:rPr>
  </w:style>
  <w:style w:type="paragraph" w:styleId="Heading1">
    <w:name w:val="heading 1"/>
    <w:basedOn w:val="Normal"/>
    <w:next w:val="6Abstract"/>
    <w:qFormat/>
    <w:pPr>
      <w:numPr>
        <w:ilvl w:val="0"/>
        <w:numId w:val="1"/>
      </w:numPr>
      <w:spacing w:before="120" w:after="120"/>
      <w:outlineLvl w:val="0"/>
    </w:pPr>
    <w:rPr>
      <w:rFonts w:eastAsia="Calibri" w:cs="Arial"/>
      <w:b/>
      <w:color w:val="FF1F64"/>
      <w:sz w:val="28"/>
      <w:szCs w:val="36"/>
      <w:lang w:val="en-GB"/>
    </w:rPr>
  </w:style>
  <w:style w:type="paragraph" w:styleId="Heading2">
    <w:name w:val="heading 2"/>
    <w:basedOn w:val="Normal"/>
    <w:next w:val="Normal"/>
    <w:qFormat/>
    <w:pPr>
      <w:keepNext w:val="true"/>
      <w:numPr>
        <w:ilvl w:val="1"/>
        <w:numId w:val="1"/>
      </w:numPr>
      <w:spacing w:before="240" w:after="60"/>
      <w:outlineLvl w:val="1"/>
    </w:pPr>
    <w:rPr>
      <w:rFonts w:ascii="Aptos Display" w:hAnsi="Aptos Display" w:eastAsia="Times New Roman" w:cs="Times New Roman"/>
      <w:b/>
      <w:bCs/>
      <w:i/>
      <w:iCs/>
      <w:sz w:val="28"/>
      <w:szCs w:val="28"/>
    </w:rPr>
  </w:style>
  <w:style w:type="paragraph" w:styleId="Heading3">
    <w:name w:val="heading 3"/>
    <w:basedOn w:val="Normal"/>
    <w:next w:val="1bodycopy10pt"/>
    <w:qFormat/>
    <w:pPr>
      <w:keepNext w:val="true"/>
      <w:keepLines/>
      <w:numPr>
        <w:ilvl w:val="2"/>
        <w:numId w:val="1"/>
      </w:numPr>
      <w:spacing w:lineRule="auto" w:line="257" w:before="120" w:after="120"/>
      <w:outlineLvl w:val="2"/>
    </w:pPr>
    <w:rPr>
      <w:rFonts w:eastAsia="MS Gothic;ＭＳ ゴシック" w:cs="Arial"/>
      <w:b/>
      <w:bCs/>
      <w:color w:val="7F7F7F"/>
      <w:sz w:val="24"/>
      <w:szCs w:val="32"/>
    </w:rPr>
  </w:style>
  <w:style w:type="character" w:styleId="WW8Num1z0">
    <w:name w:val="WW8Num1z0"/>
    <w:qFormat/>
    <w:rPr>
      <w:rFonts w:ascii="Symbol" w:hAnsi="Symbol" w:cs="Symbol"/>
      <w:sz w:val="20"/>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Symbol" w:hAnsi="Symbol" w:cs="Symbol"/>
      <w:sz w:val="20"/>
    </w:rPr>
  </w:style>
  <w:style w:type="character" w:styleId="WW8Num4z1">
    <w:name w:val="WW8Num4z1"/>
    <w:qFormat/>
    <w:rPr>
      <w:rFonts w:ascii="Courier New" w:hAnsi="Courier New" w:cs="Courier New"/>
      <w:sz w:val="20"/>
    </w:rPr>
  </w:style>
  <w:style w:type="character" w:styleId="WW8Num4z2">
    <w:name w:val="WW8Num4z2"/>
    <w:qFormat/>
    <w:rPr>
      <w:rFonts w:ascii="Wingdings" w:hAnsi="Wingdings" w:cs="Wingdings"/>
      <w:sz w:val="20"/>
    </w:rPr>
  </w:style>
  <w:style w:type="character" w:styleId="WW8Num6z0">
    <w:name w:val="WW8Num6z0"/>
    <w:qFormat/>
    <w:rPr>
      <w:rFonts w:ascii="Symbol" w:hAnsi="Symbol" w:cs="Symbol"/>
      <w:sz w:val="20"/>
    </w:rPr>
  </w:style>
  <w:style w:type="character" w:styleId="WW8Num6z1">
    <w:name w:val="WW8Num6z1"/>
    <w:qFormat/>
    <w:rPr>
      <w:rFonts w:ascii="Courier New" w:hAnsi="Courier New" w:cs="Courier New"/>
      <w:sz w:val="20"/>
    </w:rPr>
  </w:style>
  <w:style w:type="character" w:styleId="WW8Num6z2">
    <w:name w:val="WW8Num6z2"/>
    <w:qFormat/>
    <w:rPr>
      <w:rFonts w:ascii="Wingdings" w:hAnsi="Wingdings" w:cs="Wingdings"/>
      <w:sz w:val="20"/>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Symbol" w:hAnsi="Symbol" w:cs="Symbol"/>
      <w:sz w:val="20"/>
    </w:rPr>
  </w:style>
  <w:style w:type="character" w:styleId="WW8Num8z1">
    <w:name w:val="WW8Num8z1"/>
    <w:qFormat/>
    <w:rPr>
      <w:rFonts w:ascii="Courier New" w:hAnsi="Courier New" w:cs="Courier New"/>
      <w:sz w:val="20"/>
    </w:rPr>
  </w:style>
  <w:style w:type="character" w:styleId="WW8Num8z2">
    <w:name w:val="WW8Num8z2"/>
    <w:qFormat/>
    <w:rPr>
      <w:rFonts w:ascii="Wingdings" w:hAnsi="Wingdings" w:cs="Wingdings"/>
      <w:sz w:val="20"/>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Symbol" w:hAnsi="Symbol" w:cs="Symbol"/>
      <w:sz w:val="20"/>
    </w:rPr>
  </w:style>
  <w:style w:type="character" w:styleId="WW8Num10z1">
    <w:name w:val="WW8Num10z1"/>
    <w:qFormat/>
    <w:rPr>
      <w:rFonts w:ascii="Courier New" w:hAnsi="Courier New" w:cs="Courier New"/>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Symbol" w:hAnsi="Symbol" w:cs="Symbol"/>
      <w:sz w:val="20"/>
    </w:rPr>
  </w:style>
  <w:style w:type="character" w:styleId="WW8Num13z1">
    <w:name w:val="WW8Num13z1"/>
    <w:qFormat/>
    <w:rPr>
      <w:rFonts w:ascii="Courier New" w:hAnsi="Courier New" w:cs="Courier New"/>
      <w:sz w:val="20"/>
    </w:rPr>
  </w:style>
  <w:style w:type="character" w:styleId="WW8Num13z2">
    <w:name w:val="WW8Num13z2"/>
    <w:qFormat/>
    <w:rPr>
      <w:rFonts w:ascii="Wingdings" w:hAnsi="Wingdings" w:cs="Wingdings"/>
      <w:sz w:val="20"/>
    </w:rPr>
  </w:style>
  <w:style w:type="character" w:styleId="WW8Num14z0">
    <w:name w:val="WW8Num14z0"/>
    <w:qFormat/>
    <w:rPr>
      <w:rFonts w:ascii="Symbol" w:hAnsi="Symbol" w:cs="Symbol"/>
      <w:sz w:val="20"/>
    </w:rPr>
  </w:style>
  <w:style w:type="character" w:styleId="WW8Num14z1">
    <w:name w:val="WW8Num14z1"/>
    <w:qFormat/>
    <w:rPr>
      <w:rFonts w:ascii="Courier New" w:hAnsi="Courier New" w:cs="Courier New"/>
      <w:sz w:val="20"/>
    </w:rPr>
  </w:style>
  <w:style w:type="character" w:styleId="WW8Num14z2">
    <w:name w:val="WW8Num14z2"/>
    <w:qFormat/>
    <w:rPr>
      <w:rFonts w:ascii="Wingdings" w:hAnsi="Wingdings" w:cs="Wingdings"/>
      <w:sz w:val="20"/>
    </w:rPr>
  </w:style>
  <w:style w:type="character" w:styleId="WW8Num15z0">
    <w:name w:val="WW8Num15z0"/>
    <w:qFormat/>
    <w:rPr>
      <w:rFonts w:ascii="Symbol" w:hAnsi="Symbol" w:cs="Symbol"/>
      <w:sz w:val="20"/>
    </w:rPr>
  </w:style>
  <w:style w:type="character" w:styleId="WW8Num15z1">
    <w:name w:val="WW8Num15z1"/>
    <w:qFormat/>
    <w:rPr>
      <w:rFonts w:ascii="Courier New" w:hAnsi="Courier New" w:cs="Courier New"/>
      <w:sz w:val="20"/>
    </w:rPr>
  </w:style>
  <w:style w:type="character" w:styleId="WW8Num15z2">
    <w:name w:val="WW8Num15z2"/>
    <w:qFormat/>
    <w:rPr>
      <w:rFonts w:ascii="Wingdings" w:hAnsi="Wingdings" w:cs="Wingdings"/>
      <w:sz w:val="20"/>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Symbol" w:hAnsi="Symbol" w:cs="Symbol"/>
      <w:sz w:val="20"/>
    </w:rPr>
  </w:style>
  <w:style w:type="character" w:styleId="WW8Num17z1">
    <w:name w:val="WW8Num17z1"/>
    <w:qFormat/>
    <w:rPr>
      <w:rFonts w:ascii="Courier New" w:hAnsi="Courier New" w:cs="Courier New"/>
      <w:sz w:val="20"/>
    </w:rPr>
  </w:style>
  <w:style w:type="character" w:styleId="WW8Num17z2">
    <w:name w:val="WW8Num17z2"/>
    <w:qFormat/>
    <w:rPr>
      <w:rFonts w:ascii="Wingdings" w:hAnsi="Wingdings" w:cs="Wingdings"/>
      <w:sz w:val="20"/>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Symbol" w:hAnsi="Symbol" w:cs="Symbol"/>
      <w:sz w:val="20"/>
    </w:rPr>
  </w:style>
  <w:style w:type="character" w:styleId="WW8Num20z1">
    <w:name w:val="WW8Num20z1"/>
    <w:qFormat/>
    <w:rPr>
      <w:rFonts w:ascii="Courier New" w:hAnsi="Courier New" w:cs="Courier New"/>
      <w:sz w:val="20"/>
    </w:rPr>
  </w:style>
  <w:style w:type="character" w:styleId="WW8Num20z2">
    <w:name w:val="WW8Num20z2"/>
    <w:qFormat/>
    <w:rPr>
      <w:rFonts w:ascii="Wingdings" w:hAnsi="Wingdings" w:cs="Wingdings"/>
      <w:sz w:val="20"/>
    </w:rPr>
  </w:style>
  <w:style w:type="character" w:styleId="WW8Num21z0">
    <w:name w:val="WW8Num21z0"/>
    <w:qFormat/>
    <w:rPr>
      <w:rFonts w:ascii="Symbol" w:hAnsi="Symbol" w:cs="Symbol"/>
      <w:sz w:val="20"/>
    </w:rPr>
  </w:style>
  <w:style w:type="character" w:styleId="WW8Num21z1">
    <w:name w:val="WW8Num21z1"/>
    <w:qFormat/>
    <w:rPr>
      <w:rFonts w:ascii="Courier New" w:hAnsi="Courier New" w:cs="Courier New"/>
      <w:sz w:val="20"/>
    </w:rPr>
  </w:style>
  <w:style w:type="character" w:styleId="WW8Num21z2">
    <w:name w:val="WW8Num21z2"/>
    <w:qFormat/>
    <w:rPr>
      <w:rFonts w:ascii="Wingdings" w:hAnsi="Wingdings" w:cs="Wingdings"/>
      <w:sz w:val="20"/>
    </w:rPr>
  </w:style>
  <w:style w:type="character" w:styleId="WW8Num23z0">
    <w:name w:val="WW8Num23z0"/>
    <w:qFormat/>
    <w:rPr>
      <w:rFonts w:ascii="Symbol" w:hAnsi="Symbol" w:cs="Symbol"/>
      <w:sz w:val="20"/>
    </w:rPr>
  </w:style>
  <w:style w:type="character" w:styleId="WW8Num23z1">
    <w:name w:val="WW8Num23z1"/>
    <w:qFormat/>
    <w:rPr>
      <w:rFonts w:ascii="Courier New" w:hAnsi="Courier New" w:cs="Courier New"/>
      <w:sz w:val="20"/>
    </w:rPr>
  </w:style>
  <w:style w:type="character" w:styleId="WW8Num23z2">
    <w:name w:val="WW8Num23z2"/>
    <w:qFormat/>
    <w:rPr>
      <w:rFonts w:ascii="Wingdings" w:hAnsi="Wingdings" w:cs="Wingdings"/>
      <w:sz w:val="20"/>
    </w:rPr>
  </w:style>
  <w:style w:type="character" w:styleId="WW8Num24z0">
    <w:name w:val="WW8Num24z0"/>
    <w:qFormat/>
    <w:rPr>
      <w:rFonts w:ascii="Symbol" w:hAnsi="Symbol" w:cs="Symbol"/>
      <w:sz w:val="20"/>
    </w:rPr>
  </w:style>
  <w:style w:type="character" w:styleId="WW8Num24z1">
    <w:name w:val="WW8Num24z1"/>
    <w:qFormat/>
    <w:rPr>
      <w:rFonts w:ascii="Courier New" w:hAnsi="Courier New" w:cs="Courier New"/>
      <w:sz w:val="20"/>
    </w:rPr>
  </w:style>
  <w:style w:type="character" w:styleId="WW8Num24z2">
    <w:name w:val="WW8Num24z2"/>
    <w:qFormat/>
    <w:rPr>
      <w:rFonts w:ascii="Wingdings" w:hAnsi="Wingdings" w:cs="Wingdings"/>
      <w:sz w:val="20"/>
    </w:rPr>
  </w:style>
  <w:style w:type="character" w:styleId="WW8Num25z0">
    <w:name w:val="WW8Num25z0"/>
    <w:qFormat/>
    <w:rPr>
      <w:rFonts w:ascii="Symbol" w:hAnsi="Symbol" w:cs="Symbol"/>
      <w:sz w:val="20"/>
    </w:rPr>
  </w:style>
  <w:style w:type="character" w:styleId="WW8Num25z1">
    <w:name w:val="WW8Num25z1"/>
    <w:qFormat/>
    <w:rPr>
      <w:rFonts w:ascii="Courier New" w:hAnsi="Courier New" w:cs="Courier New"/>
      <w:sz w:val="20"/>
    </w:rPr>
  </w:style>
  <w:style w:type="character" w:styleId="WW8Num25z2">
    <w:name w:val="WW8Num25z2"/>
    <w:qFormat/>
    <w:rPr>
      <w:rFonts w:ascii="Wingdings" w:hAnsi="Wingdings" w:cs="Wingdings"/>
      <w:sz w:val="20"/>
    </w:rPr>
  </w:style>
  <w:style w:type="character" w:styleId="WW8Num26z0">
    <w:name w:val="WW8Num26z0"/>
    <w:qFormat/>
    <w:rPr>
      <w:rFonts w:ascii="Symbol" w:hAnsi="Symbol" w:cs="Symbol"/>
      <w:sz w:val="20"/>
    </w:rPr>
  </w:style>
  <w:style w:type="character" w:styleId="WW8Num26z1">
    <w:name w:val="WW8Num26z1"/>
    <w:qFormat/>
    <w:rPr>
      <w:rFonts w:ascii="Courier New" w:hAnsi="Courier New" w:cs="Courier New"/>
      <w:sz w:val="20"/>
    </w:rPr>
  </w:style>
  <w:style w:type="character" w:styleId="WW8Num26z2">
    <w:name w:val="WW8Num26z2"/>
    <w:qFormat/>
    <w:rPr>
      <w:rFonts w:ascii="Wingdings" w:hAnsi="Wingdings" w:cs="Wingdings"/>
      <w:sz w:val="20"/>
    </w:rPr>
  </w:style>
  <w:style w:type="character" w:styleId="WW8Num27z0">
    <w:name w:val="WW8Num27z0"/>
    <w:qFormat/>
    <w:rPr>
      <w:rFonts w:ascii="Symbol" w:hAnsi="Symbol" w:cs="Symbol"/>
      <w:sz w:val="20"/>
    </w:rPr>
  </w:style>
  <w:style w:type="character" w:styleId="WW8Num27z1">
    <w:name w:val="WW8Num27z1"/>
    <w:qFormat/>
    <w:rPr>
      <w:rFonts w:ascii="Courier New" w:hAnsi="Courier New" w:cs="Courier New"/>
      <w:sz w:val="20"/>
    </w:rPr>
  </w:style>
  <w:style w:type="character" w:styleId="WW8Num27z2">
    <w:name w:val="WW8Num27z2"/>
    <w:qFormat/>
    <w:rPr>
      <w:rFonts w:ascii="Wingdings" w:hAnsi="Wingdings" w:cs="Wingdings"/>
      <w:sz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30z0">
    <w:name w:val="WW8Num30z0"/>
    <w:qFormat/>
    <w:rPr>
      <w:rFonts w:ascii="Symbol" w:hAnsi="Symbol" w:cs="Symbol"/>
      <w:color w:val="000000"/>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0z3">
    <w:name w:val="WW8Num30z3"/>
    <w:qFormat/>
    <w:rPr>
      <w:rFonts w:ascii="Symbol" w:hAnsi="Symbol" w:cs="Symbol"/>
    </w:rPr>
  </w:style>
  <w:style w:type="character" w:styleId="WW8Num31z0">
    <w:name w:val="WW8Num31z0"/>
    <w:qFormat/>
    <w:rPr>
      <w:rFonts w:ascii="Symbol" w:hAnsi="Symbol" w:cs="Symbol"/>
      <w:sz w:val="20"/>
    </w:rPr>
  </w:style>
  <w:style w:type="character" w:styleId="WW8Num31z1">
    <w:name w:val="WW8Num31z1"/>
    <w:qFormat/>
    <w:rPr>
      <w:rFonts w:ascii="Courier New" w:hAnsi="Courier New" w:cs="Courier New"/>
      <w:sz w:val="20"/>
    </w:rPr>
  </w:style>
  <w:style w:type="character" w:styleId="WW8Num31z2">
    <w:name w:val="WW8Num31z2"/>
    <w:qFormat/>
    <w:rPr>
      <w:rFonts w:ascii="Wingdings" w:hAnsi="Wingdings" w:cs="Wingdings"/>
      <w:sz w:val="20"/>
    </w:rPr>
  </w:style>
  <w:style w:type="character" w:styleId="WW8Num32z0">
    <w:name w:val="WW8Num32z0"/>
    <w:qFormat/>
    <w:rPr>
      <w:rFonts w:ascii="Symbol" w:hAnsi="Symbol" w:cs="Symbol"/>
      <w:sz w:val="20"/>
    </w:rPr>
  </w:style>
  <w:style w:type="character" w:styleId="WW8Num32z1">
    <w:name w:val="WW8Num32z1"/>
    <w:qFormat/>
    <w:rPr>
      <w:rFonts w:ascii="Courier New" w:hAnsi="Courier New" w:cs="Courier New"/>
      <w:sz w:val="20"/>
    </w:rPr>
  </w:style>
  <w:style w:type="character" w:styleId="WW8Num32z2">
    <w:name w:val="WW8Num32z2"/>
    <w:qFormat/>
    <w:rPr>
      <w:rFonts w:ascii="Wingdings" w:hAnsi="Wingdings" w:cs="Wingdings"/>
      <w:sz w:val="20"/>
    </w:rPr>
  </w:style>
  <w:style w:type="character" w:styleId="WW8Num33z0">
    <w:name w:val="WW8Num33z0"/>
    <w:qFormat/>
    <w:rPr>
      <w:rFonts w:ascii="Symbol" w:hAnsi="Symbol" w:cs="Symbol"/>
      <w:sz w:val="20"/>
    </w:rPr>
  </w:style>
  <w:style w:type="character" w:styleId="WW8Num33z1">
    <w:name w:val="WW8Num33z1"/>
    <w:qFormat/>
    <w:rPr>
      <w:rFonts w:ascii="Courier New" w:hAnsi="Courier New" w:cs="Courier New"/>
      <w:sz w:val="20"/>
    </w:rPr>
  </w:style>
  <w:style w:type="character" w:styleId="WW8Num33z2">
    <w:name w:val="WW8Num33z2"/>
    <w:qFormat/>
    <w:rPr>
      <w:rFonts w:ascii="Wingdings" w:hAnsi="Wingdings" w:cs="Wingdings"/>
      <w:sz w:val="20"/>
    </w:rPr>
  </w:style>
  <w:style w:type="character" w:styleId="WW8Num34z0">
    <w:name w:val="WW8Num34z0"/>
    <w:qFormat/>
    <w:rPr>
      <w:rFonts w:ascii="Symbol" w:hAnsi="Symbol" w:cs="Symbol"/>
      <w:color w:val="000000"/>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4z3">
    <w:name w:val="WW8Num34z3"/>
    <w:qFormat/>
    <w:rPr>
      <w:rFonts w:ascii="Symbol" w:hAnsi="Symbol" w:cs="Symbol"/>
    </w:rPr>
  </w:style>
  <w:style w:type="character" w:styleId="DefaultParagraphFont">
    <w:name w:val="Default Paragraph Font"/>
    <w:qFormat/>
    <w:rPr/>
  </w:style>
  <w:style w:type="character" w:styleId="Heading1Char">
    <w:name w:val="Heading 1 Char"/>
    <w:qFormat/>
    <w:rPr>
      <w:rFonts w:ascii="Arial" w:hAnsi="Arial" w:eastAsia="Calibri" w:cs="Arial"/>
      <w:b/>
      <w:color w:val="FF1F64"/>
      <w:sz w:val="28"/>
      <w:szCs w:val="36"/>
    </w:rPr>
  </w:style>
  <w:style w:type="character" w:styleId="Heading3Char">
    <w:name w:val="Heading 3 Char"/>
    <w:qFormat/>
    <w:rPr>
      <w:rFonts w:ascii="Arial" w:hAnsi="Arial" w:eastAsia="MS Gothic;ＭＳ ゴシック" w:cs="Arial"/>
      <w:b/>
      <w:bCs/>
      <w:color w:val="7F7F7F"/>
      <w:sz w:val="24"/>
      <w:szCs w:val="32"/>
      <w:lang w:val="en-US"/>
    </w:rPr>
  </w:style>
  <w:style w:type="character" w:styleId="FooterChar">
    <w:name w:val="Footer Char"/>
    <w:qFormat/>
    <w:rPr>
      <w:rFonts w:ascii="Arial" w:hAnsi="Arial" w:eastAsia="Times New Roman" w:cs="Arial"/>
      <w:color w:val="808080"/>
      <w:sz w:val="16"/>
      <w:szCs w:val="16"/>
      <w:shd w:fill="FFFFFF" w:val="clear"/>
      <w:lang w:val="en-US"/>
    </w:rPr>
  </w:style>
  <w:style w:type="character" w:styleId="Hyperlink">
    <w:name w:val="Hyperlink"/>
    <w:rPr>
      <w:color w:val="0072CC"/>
      <w:u w:val="single"/>
    </w:rPr>
  </w:style>
  <w:style w:type="character" w:styleId="1bodycopy10ptChar">
    <w:name w:val="1 body copy 10pt Char"/>
    <w:qFormat/>
    <w:rPr>
      <w:rFonts w:ascii="Arial" w:hAnsi="Arial" w:eastAsia="MS Mincho" w:cs="Times New Roman"/>
      <w:sz w:val="20"/>
      <w:szCs w:val="24"/>
      <w:lang w:val="en-US"/>
    </w:rPr>
  </w:style>
  <w:style w:type="character" w:styleId="apple-converted-space">
    <w:name w:val="apple-converted-space"/>
    <w:qFormat/>
    <w:rPr/>
  </w:style>
  <w:style w:type="character" w:styleId="SubheadwithpointerChar">
    <w:name w:val="Subhead with pointer Char"/>
    <w:qFormat/>
    <w:rPr>
      <w:rFonts w:ascii="Arial" w:hAnsi="Arial" w:eastAsia="MS Mincho" w:cs="Arial"/>
      <w:b/>
      <w:bCs/>
      <w:color w:val="12263F"/>
      <w:sz w:val="32"/>
      <w:szCs w:val="32"/>
      <w:lang w:val="en-US"/>
    </w:rPr>
  </w:style>
  <w:style w:type="character" w:styleId="Subhead2Char">
    <w:name w:val="Subhead 2 Char"/>
    <w:qFormat/>
    <w:rPr>
      <w:rFonts w:ascii="Arial" w:hAnsi="Arial" w:eastAsia="MS Mincho" w:cs="Times New Roman"/>
      <w:b/>
      <w:color w:val="12263F"/>
      <w:sz w:val="24"/>
      <w:szCs w:val="24"/>
      <w:lang w:val="en-US"/>
    </w:rPr>
  </w:style>
  <w:style w:type="character" w:styleId="1bodycopyChar">
    <w:name w:val="1 body copy Char"/>
    <w:qFormat/>
    <w:rPr>
      <w:rFonts w:ascii="Arial" w:hAnsi="Arial" w:eastAsia="MS Mincho" w:cs="Times New Roman"/>
      <w:sz w:val="20"/>
      <w:szCs w:val="24"/>
      <w:lang w:val="en-US"/>
    </w:rPr>
  </w:style>
  <w:style w:type="character" w:styleId="FollowedHyperlink">
    <w:name w:val="FollowedHyperlink"/>
    <w:rPr>
      <w:color w:val="954F72"/>
      <w:u w:val="single"/>
    </w:rPr>
  </w:style>
  <w:style w:type="character" w:styleId="CommentReference">
    <w:name w:val="Comment Reference"/>
    <w:qFormat/>
    <w:rPr>
      <w:sz w:val="16"/>
      <w:szCs w:val="16"/>
    </w:rPr>
  </w:style>
  <w:style w:type="character" w:styleId="CommentTextChar">
    <w:name w:val="Comment Text Char"/>
    <w:qFormat/>
    <w:rPr>
      <w:rFonts w:ascii="Arial" w:hAnsi="Arial" w:eastAsia="MS Mincho" w:cs="Times New Roman"/>
      <w:sz w:val="20"/>
      <w:szCs w:val="20"/>
      <w:lang w:val="en-US"/>
    </w:rPr>
  </w:style>
  <w:style w:type="character" w:styleId="CommentSubjectChar">
    <w:name w:val="Comment Subject Char"/>
    <w:qFormat/>
    <w:rPr>
      <w:rFonts w:ascii="Arial" w:hAnsi="Arial" w:eastAsia="MS Mincho" w:cs="Times New Roman"/>
      <w:b/>
      <w:bCs/>
      <w:sz w:val="20"/>
      <w:szCs w:val="20"/>
      <w:lang w:val="en-US"/>
    </w:rPr>
  </w:style>
  <w:style w:type="character" w:styleId="BalloonTextChar">
    <w:name w:val="Balloon Text Char"/>
    <w:qFormat/>
    <w:rPr>
      <w:rFonts w:ascii="Segoe UI" w:hAnsi="Segoe UI" w:eastAsia="MS Mincho" w:cs="Segoe UI"/>
      <w:sz w:val="18"/>
      <w:szCs w:val="18"/>
      <w:lang w:val="en-US"/>
    </w:rPr>
  </w:style>
  <w:style w:type="character" w:styleId="HeaderChar">
    <w:name w:val="Header Char"/>
    <w:qFormat/>
    <w:rPr>
      <w:sz w:val="22"/>
      <w:szCs w:val="22"/>
    </w:rPr>
  </w:style>
  <w:style w:type="character" w:styleId="Heading2Char">
    <w:name w:val="Heading 2 Char"/>
    <w:qFormat/>
    <w:rPr>
      <w:rFonts w:ascii="Aptos Display" w:hAnsi="Aptos Display" w:eastAsia="Times New Roman" w:cs="Times New Roman"/>
      <w:b/>
      <w:bCs/>
      <w:i/>
      <w:iCs/>
      <w:sz w:val="28"/>
      <w:szCs w:val="28"/>
      <w:lang w:val="en-US"/>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Footer">
    <w:name w:val="footer"/>
    <w:basedOn w:val="Normal"/>
    <w:pPr>
      <w:shd w:fill="FFFFFF" w:val="clear"/>
      <w:textAlignment w:val="baseline"/>
    </w:pPr>
    <w:rPr>
      <w:rFonts w:eastAsia="Times New Roman" w:cs="Arial"/>
      <w:color w:val="808080"/>
      <w:sz w:val="16"/>
      <w:szCs w:val="16"/>
    </w:rPr>
  </w:style>
  <w:style w:type="paragraph" w:styleId="1bodycopy10pt">
    <w:name w:val="1 body copy 10pt"/>
    <w:basedOn w:val="Normal"/>
    <w:qFormat/>
    <w:pPr/>
    <w:rPr/>
  </w:style>
  <w:style w:type="paragraph" w:styleId="9Boxheading">
    <w:name w:val="9 Box heading"/>
    <w:basedOn w:val="Normal"/>
    <w:qFormat/>
    <w:pPr/>
    <w:rPr>
      <w:b/>
      <w:color w:val="12263F"/>
      <w:sz w:val="24"/>
    </w:rPr>
  </w:style>
  <w:style w:type="paragraph" w:styleId="6Abstract">
    <w:name w:val="6 Abstract"/>
    <w:qFormat/>
    <w:pPr>
      <w:widowControl/>
      <w:bidi w:val="0"/>
      <w:spacing w:lineRule="auto" w:line="257" w:before="0" w:after="240"/>
    </w:pPr>
    <w:rPr>
      <w:rFonts w:ascii="Arial" w:hAnsi="Arial" w:eastAsia="MS Mincho" w:cs="Arial"/>
      <w:color w:val="auto"/>
      <w:sz w:val="28"/>
      <w:szCs w:val="28"/>
      <w:lang w:val="en-US" w:bidi="ar-SA" w:eastAsia="zh-CN"/>
    </w:rPr>
  </w:style>
  <w:style w:type="paragraph" w:styleId="Subheadwithpointer">
    <w:name w:val="Subhead with pointer"/>
    <w:basedOn w:val="Normal"/>
    <w:next w:val="6Abstract"/>
    <w:qFormat/>
    <w:pPr>
      <w:numPr>
        <w:ilvl w:val="0"/>
        <w:numId w:val="31"/>
      </w:numPr>
      <w:spacing w:before="120" w:after="120"/>
      <w:ind w:hanging="0" w:left="0" w:right="850"/>
    </w:pPr>
    <w:rPr>
      <w:rFonts w:cs="Arial"/>
      <w:b/>
      <w:bCs/>
      <w:color w:val="12263F"/>
      <w:sz w:val="32"/>
      <w:szCs w:val="32"/>
    </w:rPr>
  </w:style>
  <w:style w:type="paragraph" w:styleId="1bodycopy11pt">
    <w:name w:val="1 body copy 11pt"/>
    <w:qFormat/>
    <w:pPr>
      <w:widowControl/>
      <w:bidi w:val="0"/>
      <w:spacing w:before="0" w:after="120"/>
      <w:ind w:hanging="0" w:left="0" w:right="850"/>
    </w:pPr>
    <w:rPr>
      <w:rFonts w:ascii="Arial" w:hAnsi="Arial" w:eastAsia="MS Mincho" w:cs="Arial"/>
      <w:color w:val="auto"/>
      <w:sz w:val="22"/>
      <w:szCs w:val="24"/>
      <w:lang w:val="en-US" w:bidi="ar-SA" w:eastAsia="zh-CN"/>
    </w:rPr>
  </w:style>
  <w:style w:type="paragraph" w:styleId="TOCHeading">
    <w:name w:val="TOC Heading"/>
    <w:basedOn w:val="Heading1"/>
    <w:next w:val="Normal"/>
    <w:qFormat/>
    <w:pPr>
      <w:keepNext w:val="true"/>
      <w:keepLines/>
      <w:numPr>
        <w:ilvl w:val="0"/>
        <w:numId w:val="0"/>
      </w:numPr>
      <w:spacing w:lineRule="auto" w:line="257" w:before="240" w:after="0"/>
      <w:outlineLvl w:val="9"/>
    </w:pPr>
    <w:rPr>
      <w:rFonts w:ascii="Calibri Light" w:hAnsi="Calibri Light" w:eastAsia="Times New Roman" w:cs="Times New Roman"/>
      <w:b w:val="false"/>
      <w:color w:val="0D1C2F"/>
      <w:sz w:val="32"/>
      <w:szCs w:val="32"/>
      <w:lang w:val="en-US"/>
    </w:rPr>
  </w:style>
  <w:style w:type="paragraph" w:styleId="TOC1">
    <w:name w:val="toc 1"/>
    <w:basedOn w:val="Normal"/>
    <w:next w:val="Normal"/>
    <w:pPr>
      <w:spacing w:before="0" w:after="100"/>
    </w:pPr>
    <w:rPr/>
  </w:style>
  <w:style w:type="paragraph" w:styleId="3Policytitle">
    <w:name w:val="3 Policy title"/>
    <w:basedOn w:val="Normal"/>
    <w:qFormat/>
    <w:pPr/>
    <w:rPr>
      <w:b/>
      <w:sz w:val="72"/>
    </w:rPr>
  </w:style>
  <w:style w:type="paragraph" w:styleId="ListParagraph">
    <w:name w:val="List Paragraph"/>
    <w:basedOn w:val="Normal"/>
    <w:qFormat/>
    <w:pPr>
      <w:spacing w:before="0" w:after="120"/>
      <w:ind w:hanging="0" w:left="720" w:right="0"/>
      <w:contextualSpacing/>
    </w:pPr>
    <w:rPr/>
  </w:style>
  <w:style w:type="paragraph" w:styleId="Bulletedcopylevel2">
    <w:name w:val="Bulleted copy level 2"/>
    <w:basedOn w:val="1bodycopy10pt"/>
    <w:qFormat/>
    <w:pPr>
      <w:numPr>
        <w:ilvl w:val="0"/>
        <w:numId w:val="3"/>
      </w:numPr>
      <w:tabs>
        <w:tab w:val="clear" w:pos="720"/>
        <w:tab w:val="left" w:pos="360" w:leader="none"/>
      </w:tabs>
      <w:ind w:hanging="0" w:left="0" w:right="0"/>
    </w:pPr>
    <w:rPr/>
  </w:style>
  <w:style w:type="paragraph" w:styleId="Subhead2">
    <w:name w:val="Subhead 2"/>
    <w:basedOn w:val="1bodycopy10pt"/>
    <w:next w:val="1bodycopy10pt"/>
    <w:qFormat/>
    <w:pPr>
      <w:spacing w:before="240" w:after="120"/>
    </w:pPr>
    <w:rPr>
      <w:b/>
      <w:color w:val="12263F"/>
      <w:sz w:val="24"/>
    </w:rPr>
  </w:style>
  <w:style w:type="paragraph" w:styleId="TOC3">
    <w:name w:val="toc 3"/>
    <w:basedOn w:val="Normal"/>
    <w:next w:val="Normal"/>
    <w:pPr>
      <w:spacing w:before="0" w:after="100"/>
      <w:ind w:hanging="0" w:left="400" w:right="0"/>
    </w:pPr>
    <w:rPr/>
  </w:style>
  <w:style w:type="paragraph" w:styleId="1bodycopy">
    <w:name w:val="1 body copy"/>
    <w:basedOn w:val="Normal"/>
    <w:qFormat/>
    <w:pPr/>
    <w:rPr/>
  </w:style>
  <w:style w:type="paragraph" w:styleId="4Heading1">
    <w:name w:val="4 Heading 1"/>
    <w:basedOn w:val="Heading1"/>
    <w:next w:val="Normal"/>
    <w:qFormat/>
    <w:pPr>
      <w:numPr>
        <w:ilvl w:val="0"/>
        <w:numId w:val="0"/>
      </w:numPr>
      <w:spacing w:before="0" w:after="480"/>
      <w:outlineLvl w:val="9"/>
    </w:pPr>
    <w:rPr>
      <w:sz w:val="60"/>
    </w:rPr>
  </w:style>
  <w:style w:type="paragraph" w:styleId="3Bulletedcopyblue">
    <w:name w:val="3 Bulleted copy blue"/>
    <w:basedOn w:val="Normal"/>
    <w:qFormat/>
    <w:pPr>
      <w:numPr>
        <w:ilvl w:val="0"/>
        <w:numId w:val="35"/>
      </w:numPr>
    </w:pPr>
    <w:rPr>
      <w:rFonts w:cs="Arial"/>
      <w:szCs w:val="20"/>
    </w:rPr>
  </w:style>
  <w:style w:type="paragraph" w:styleId="7Tablebodycopy">
    <w:name w:val="7 Table body copy"/>
    <w:basedOn w:val="1bodycopy"/>
    <w:qFormat/>
    <w:pPr>
      <w:spacing w:before="0" w:after="60"/>
    </w:pPr>
    <w:rPr/>
  </w:style>
  <w:style w:type="paragraph" w:styleId="7Tablecopybulleted">
    <w:name w:val="7 Table copy bulleted"/>
    <w:basedOn w:val="7Tablebodycopy"/>
    <w:qFormat/>
    <w:pPr>
      <w:numPr>
        <w:ilvl w:val="0"/>
        <w:numId w:val="4"/>
      </w:numPr>
      <w:tabs>
        <w:tab w:val="clear" w:pos="720"/>
        <w:tab w:val="left" w:pos="360" w:leader="none"/>
      </w:tabs>
      <w:ind w:hanging="0" w:left="0" w:right="0"/>
    </w:pPr>
    <w:rPr/>
  </w:style>
  <w:style w:type="paragraph" w:styleId="CommentText">
    <w:name w:val="Comment Text"/>
    <w:basedOn w:val="Normal"/>
    <w:qFormat/>
    <w:pPr/>
    <w:rPr>
      <w:szCs w:val="20"/>
    </w:rPr>
  </w:style>
  <w:style w:type="paragraph" w:styleId="CommentSubject">
    <w:name w:val="Comment Subject"/>
    <w:basedOn w:val="CommentText"/>
    <w:next w:val="CommentText"/>
    <w:qFormat/>
    <w:pPr/>
    <w:rPr>
      <w:b/>
      <w:bCs/>
    </w:rPr>
  </w:style>
  <w:style w:type="paragraph" w:styleId="BalloonText">
    <w:name w:val="Balloon Text"/>
    <w:basedOn w:val="Normal"/>
    <w:qFormat/>
    <w:pPr>
      <w:spacing w:before="0" w:after="0"/>
    </w:pPr>
    <w:rPr>
      <w:rFonts w:ascii="Segoe UI" w:hAnsi="Segoe UI" w:cs="Segoe UI"/>
      <w:sz w:val="18"/>
      <w:szCs w:val="18"/>
    </w:rPr>
  </w:style>
  <w:style w:type="paragraph" w:styleId="7Tablebodybulleted">
    <w:name w:val="7 Table body bulleted"/>
    <w:basedOn w:val="1bodycopy"/>
    <w:qFormat/>
    <w:pPr>
      <w:numPr>
        <w:ilvl w:val="0"/>
        <w:numId w:val="19"/>
      </w:numPr>
      <w:ind w:hanging="0" w:left="0" w:right="284"/>
    </w:pPr>
    <w:rPr/>
  </w:style>
  <w:style w:type="paragraph" w:styleId="Header">
    <w:name w:val="header"/>
    <w:basedOn w:val="Normal"/>
    <w:pPr>
      <w:tabs>
        <w:tab w:val="clear" w:pos="720"/>
        <w:tab w:val="center" w:pos="4513" w:leader="none"/>
        <w:tab w:val="right" w:pos="9026" w:leader="none"/>
      </w:tabs>
      <w:spacing w:before="0" w:after="0"/>
    </w:pPr>
    <w:rPr>
      <w:rFonts w:ascii="Calibri" w:hAnsi="Calibri" w:eastAsia="Calibri" w:cs="Times New Roman"/>
      <w:sz w:val="22"/>
      <w:szCs w:val="22"/>
      <w:lang w:val="en-GB"/>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numbering.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2026-10-07T13:22:00Z</dcterms:created>
  <dc:creator>Ruth Gafson</dc:creator>
  <dc:description/>
  <cp:keywords/>
  <dc:language>en-US</dc:language>
  <cp:lastModifiedBy>Sophie Allen</cp:lastModifiedBy>
  <cp:lastPrinted>2020-12-11T11:02:00Z</cp:lastPrinted>
  <dcterms:modified xsi:type="dcterms:W3CDTF">2026-10-07T13:40:00Z</dcterms:modified>
  <cp:revision>4</cp:revision>
  <dc:subject/>
  <dc:title/>
</cp:coreProperties>
</file>